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4 -->
  <w:body>
    <w:p>
      <w:pPr>
        <w:pBdr>
          <w:top w:val="single" w:sz="16" w:space="0" w:color="000000"/>
          <w:left w:val="none" w:sz="0" w:space="0" w:color="auto"/>
          <w:bottom w:val="single" w:sz="8" w:space="0" w:color="000000"/>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UNITED STATES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SECURITIES AND EXCHANGE COMMISSION</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Washington, DC 20549</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FORM 10-K</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ANNUAL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 the fiscal year ended December 31, 2023</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or</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TRANSITION REPORT UNDER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 the transition period from _________ to _____________</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Commission file number: 001-34471</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(Exact name of registrant as specified in its charter)</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584"/>
        <w:gridCol w:w="187"/>
        <w:gridCol w:w="4584"/>
      </w:tblGrid>
      <w:tr>
        <w:tblPrEx>
          <w:tblW w:w="5000" w:type="pct"/>
          <w:tblInd w:w="5" w:type="dxa"/>
          <w:tblCellMar>
            <w:top w:w="0" w:type="dxa"/>
            <w:left w:w="0" w:type="dxa"/>
            <w:bottom w:w="0" w:type="dxa"/>
            <w:right w:w="0" w:type="dxa"/>
          </w:tblCellMar>
        </w:tblPrEx>
        <w:tc>
          <w:tcPr>
            <w:tcW w:w="245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Nevada</w:t>
            </w:r>
          </w:p>
        </w:tc>
        <w:tc>
          <w:tcPr>
            <w:tcW w:w="100" w:type="pct"/>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45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73-1564807</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iCs/>
                <w:smallCaps w:val="0"/>
                <w:color w:val="000000"/>
                <w:sz w:val="20"/>
                <w:szCs w:val="20"/>
              </w:rPr>
              <w:t>(State or other jurisdiction of</w:t>
            </w:r>
            <w:r>
              <w:rPr>
                <w:rFonts w:ascii="Times New Roman" w:eastAsia="Times New Roman" w:hAnsi="Times New Roman" w:cs="Times New Roman"/>
                <w:b w:val="0"/>
                <w:bCs w:val="0"/>
                <w:i/>
                <w:iCs/>
                <w:smallCaps w:val="0"/>
                <w:color w:val="000000"/>
                <w:sz w:val="20"/>
                <w:szCs w:val="20"/>
              </w:rPr>
              <w:br/>
            </w:r>
            <w:r>
              <w:rPr>
                <w:rFonts w:ascii="Times New Roman" w:eastAsia="Times New Roman" w:hAnsi="Times New Roman" w:cs="Times New Roman"/>
                <w:b w:val="0"/>
                <w:bCs w:val="0"/>
                <w:i/>
                <w:iCs/>
                <w:smallCaps w:val="0"/>
                <w:color w:val="000000"/>
                <w:sz w:val="20"/>
                <w:szCs w:val="20"/>
              </w:rPr>
              <w:t>incorporation or organization)</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iCs/>
                <w:smallCaps w:val="0"/>
                <w:color w:val="000000"/>
                <w:sz w:val="20"/>
                <w:szCs w:val="20"/>
              </w:rPr>
              <w:t>(IRS Employer</w:t>
            </w:r>
            <w:r>
              <w:rPr>
                <w:rFonts w:ascii="Times New Roman" w:eastAsia="Times New Roman" w:hAnsi="Times New Roman" w:cs="Times New Roman"/>
                <w:b w:val="0"/>
                <w:bCs w:val="0"/>
                <w:i/>
                <w:iCs/>
                <w:smallCaps w:val="0"/>
                <w:color w:val="000000"/>
                <w:sz w:val="20"/>
                <w:szCs w:val="20"/>
              </w:rPr>
              <w:br/>
            </w:r>
            <w:r>
              <w:rPr>
                <w:rFonts w:ascii="Times New Roman" w:eastAsia="Times New Roman" w:hAnsi="Times New Roman" w:cs="Times New Roman"/>
                <w:b w:val="0"/>
                <w:bCs w:val="0"/>
                <w:i/>
                <w:iCs/>
                <w:smallCaps w:val="0"/>
                <w:color w:val="000000"/>
                <w:sz w:val="20"/>
                <w:szCs w:val="20"/>
              </w:rPr>
              <w:t>Identification No.)</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Second Floor, No. 17, Jinpan Road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Haikou, Hainan Province, China 570216</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(Address of Principal Executive Offices) (Zip Code)</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Registrant’s telephone number, including the area code: </w:t>
      </w:r>
      <w:r>
        <w:rPr>
          <w:rFonts w:ascii="Times New Roman" w:eastAsia="Times New Roman" w:hAnsi="Times New Roman" w:cs="Times New Roman"/>
          <w:b/>
          <w:bCs/>
          <w:i w:val="0"/>
          <w:iCs w:val="0"/>
          <w:smallCaps w:val="0"/>
          <w:sz w:val="20"/>
          <w:szCs w:val="20"/>
        </w:rPr>
        <w:t>(011) 86 898-6681-1730</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Securities registered pursuant to Section 12(b) of the Act: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994"/>
        <w:gridCol w:w="187"/>
        <w:gridCol w:w="2994"/>
        <w:gridCol w:w="187"/>
        <w:gridCol w:w="2994"/>
      </w:tblGrid>
      <w:tr>
        <w:tblPrEx>
          <w:tblW w:w="5000" w:type="pct"/>
          <w:tblInd w:w="5" w:type="dxa"/>
          <w:tblCellMar>
            <w:top w:w="0" w:type="dxa"/>
            <w:left w:w="0" w:type="dxa"/>
            <w:bottom w:w="0" w:type="dxa"/>
            <w:right w:w="0" w:type="dxa"/>
          </w:tblCellMar>
        </w:tblPrEx>
        <w:tc>
          <w:tcPr>
            <w:tcW w:w="16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Title of each class</w:t>
            </w:r>
          </w:p>
        </w:tc>
        <w:tc>
          <w:tcPr>
            <w:tcW w:w="10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6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Trading Symbol(s)</w:t>
            </w:r>
          </w:p>
        </w:tc>
        <w:tc>
          <w:tcPr>
            <w:tcW w:w="10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600" w:type="pct"/>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 of each exchange on which registered</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CPHI</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NYSE American</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Securities registered pursuant to Section 12(g) of the Act: </w:t>
      </w:r>
      <w:r>
        <w:rPr>
          <w:rFonts w:ascii="Times New Roman" w:eastAsia="Times New Roman" w:hAnsi="Times New Roman" w:cs="Times New Roman"/>
          <w:b/>
          <w:bCs/>
          <w:i w:val="0"/>
          <w:iCs w:val="0"/>
          <w:smallCaps w:val="0"/>
          <w:sz w:val="20"/>
          <w:szCs w:val="20"/>
        </w:rPr>
        <w:t>None.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if the registrant is a well-known seasoned issuer, as defined in Rule 405 of the Securities Act. Yes ☐ No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if the registrant is not required to file reports pursuant to Section 13 or Section 15(d) of the Exchange Act. Yes ☐ No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 No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has submitted electronically every Interactive Data File required to be submitted pursuant to Rule 405 of Regulation S-T (§ 232.405 of this chapter) during the preceding 12 months (or for such shorter period that the registrant was required to submit and post such files). Yes ☒ No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large accelerated filer, an accelerated filer, a non-accelerated filer or a smaller reporting company. See definitions of “large accelerated filer,” “accelerated filer,” “smaller reporting company,” and “emerging growth company” in Rule 12b-2 of the Exchange Act.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1871"/>
        <w:gridCol w:w="2806"/>
        <w:gridCol w:w="2339"/>
        <w:gridCol w:w="2339"/>
      </w:tblGrid>
      <w:tr>
        <w:tblPrEx>
          <w:tblW w:w="5000" w:type="pct"/>
          <w:tblInd w:w="5" w:type="dxa"/>
          <w:tblCellMar>
            <w:top w:w="0" w:type="dxa"/>
            <w:left w:w="0" w:type="dxa"/>
            <w:bottom w:w="0" w:type="dxa"/>
            <w:right w:w="0" w:type="dxa"/>
          </w:tblCellMar>
        </w:tblPrEx>
        <w:tc>
          <w:tcPr>
            <w:tcW w:w="10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Large accelerated filer</w:t>
            </w:r>
          </w:p>
        </w:tc>
        <w:tc>
          <w:tcPr>
            <w:tcW w:w="15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12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Accelerated filer </w:t>
            </w:r>
          </w:p>
        </w:tc>
        <w:tc>
          <w:tcPr>
            <w:tcW w:w="12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Non-accelerated filer</w:t>
            </w:r>
          </w:p>
        </w:tc>
        <w:tc>
          <w:tcPr>
            <w:noWrap w:val="0"/>
            <w:tcMar>
              <w:top w:w="5" w:type="dxa"/>
              <w:left w:w="5" w:type="dxa"/>
              <w:bottom w:w="5" w:type="dxa"/>
              <w:right w:w="5" w:type="dxa"/>
            </w:tcMar>
            <w:vAlign w:val="top"/>
            <w:hideMark/>
          </w:tcPr>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Smaller reporting company</w:t>
            </w:r>
          </w:p>
        </w:tc>
        <w:tc>
          <w:tcPr>
            <w:noWrap w:val="0"/>
            <w:tcMar>
              <w:top w:w="5" w:type="dxa"/>
              <w:left w:w="5" w:type="dxa"/>
              <w:bottom w:w="5" w:type="dxa"/>
              <w:right w:w="5" w:type="dxa"/>
            </w:tcMar>
            <w:vAlign w:val="top"/>
            <w:hideMark/>
          </w:tcPr>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Emerging growth company</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If an emerging growth company, indicate by check mark if the registrant has elected not to use the extended transition period for complying with any new or revised financial accounting standards provided pursuant to Section 13(a) of the Exchange Act.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has filed a report on and attestation to its management’s assessment of the effectiveness of its internal control over financial reporting under Section 404(b) of the Sarbanes-Oxley Act (15 U.S.C. 7262(b)) by the registered public accounting firm that prepared or issued its audit report.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If securities are registered pursuant to Section 12(b) of the Act, indicate by check mark whether the financial statements of the registrant included in the filing reflect the correction of an error to previously issued financial statements.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any of those error corrections are restatements that required a recovery analysis of incentive-based compensation received by any of the registrant’s executive officers during the relevant recovery period pursuant to §240.10D-1(b). ☐</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shell company (as defined in Rule 12b-2 of the Exchange Act). Yes ☐ No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aggregate market value of the voting and non-voting common equity held by non-affiliates computed by reference to the price at which the common equity was last sold, or the average bid and ask price of such common equity, as of the last business day of the registrant’s most recently completed second fiscal quarter: $3,896,941 as of June 30, 2023, based on the closing price of $1.7055 of the Company’s common stock on such date.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number of outstanding shares of the registrant’s common stock on March 24, 2024, was 14,816,865.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Documents Incorporated by Reference: None.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single" w:sz="8" w:space="0" w:color="000000"/>
          <w:left w:val="none" w:sz="0" w:space="0" w:color="auto"/>
          <w:bottom w:val="single" w:sz="16" w:space="0" w:color="000000"/>
          <w:right w:val="none" w:sz="0" w:space="0" w:color="auto"/>
        </w:pBdr>
        <w:spacing w:before="60" w:after="24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pBdr>
          <w:top w:val="none" w:sz="0" w:space="0" w:color="auto"/>
          <w:left w:val="none" w:sz="0" w:space="0" w:color="auto"/>
          <w:bottom w:val="single" w:sz="12" w:space="0" w:color="000000"/>
          <w:right w:val="none" w:sz="0" w:space="0" w:color="auto"/>
        </w:pBdr>
        <w:spacing w:before="240" w:after="12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FORM 10-K ANNUAL REPORT</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FISCAL YEAR ENDED DECEMBER 31, 2023</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48"/>
        <w:gridCol w:w="7858"/>
        <w:gridCol w:w="748"/>
      </w:tblGrid>
      <w:tr>
        <w:tblPrEx>
          <w:tblW w:w="5000" w:type="pct"/>
          <w:tblInd w:w="5" w:type="dxa"/>
          <w:tblCellMar>
            <w:top w:w="0" w:type="dxa"/>
            <w:left w:w="0" w:type="dxa"/>
            <w:bottom w:w="0" w:type="dxa"/>
            <w:right w:w="0" w:type="dxa"/>
          </w:tblCellMar>
        </w:tblPrEx>
        <w:tc>
          <w:tcPr>
            <w:tcW w:w="4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2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PAGE</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s_001" w:history="1">
              <w:r>
                <w:rPr>
                  <w:rFonts w:ascii="Times New Roman" w:eastAsia="Times New Roman" w:hAnsi="Times New Roman" w:cs="Times New Roman"/>
                  <w:b w:val="0"/>
                  <w:bCs w:val="0"/>
                  <w:i w:val="0"/>
                  <w:iCs w:val="0"/>
                  <w:smallCaps w:val="0"/>
                  <w:color w:val="0000EE"/>
                  <w:sz w:val="20"/>
                  <w:szCs w:val="20"/>
                  <w:u w:val="single" w:color="0000EE"/>
                </w:rPr>
                <w:t>PART I</w:t>
              </w:r>
            </w:hyperlink>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01" w:history="1">
              <w:r>
                <w:rPr>
                  <w:rFonts w:ascii="Times New Roman" w:eastAsia="Times New Roman" w:hAnsi="Times New Roman" w:cs="Times New Roman"/>
                  <w:b w:val="0"/>
                  <w:bCs w:val="0"/>
                  <w:i w:val="0"/>
                  <w:iCs w:val="0"/>
                  <w:smallCaps w:val="0"/>
                  <w:color w:val="0000EE"/>
                  <w:sz w:val="20"/>
                  <w:szCs w:val="20"/>
                  <w:u w:val="single" w:color="0000EE"/>
                </w:rPr>
                <w:t>Business.</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1A.</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02" w:history="1">
              <w:r>
                <w:rPr>
                  <w:rFonts w:ascii="Times New Roman" w:eastAsia="Times New Roman" w:hAnsi="Times New Roman" w:cs="Times New Roman"/>
                  <w:b w:val="0"/>
                  <w:bCs w:val="0"/>
                  <w:i w:val="0"/>
                  <w:iCs w:val="0"/>
                  <w:smallCaps w:val="0"/>
                  <w:color w:val="0000EE"/>
                  <w:sz w:val="20"/>
                  <w:szCs w:val="20"/>
                  <w:u w:val="single" w:color="0000EE"/>
                </w:rPr>
                <w:t>Risk Factors.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1B.</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03" w:history="1">
              <w:r>
                <w:rPr>
                  <w:rFonts w:ascii="Times New Roman" w:eastAsia="Times New Roman" w:hAnsi="Times New Roman" w:cs="Times New Roman"/>
                  <w:b w:val="0"/>
                  <w:bCs w:val="0"/>
                  <w:i w:val="0"/>
                  <w:iCs w:val="0"/>
                  <w:smallCaps w:val="0"/>
                  <w:color w:val="0000EE"/>
                  <w:sz w:val="20"/>
                  <w:szCs w:val="20"/>
                  <w:u w:val="single" w:color="0000EE"/>
                </w:rPr>
                <w:t>Unresolved Staff Comments.</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1C.</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04" w:history="1">
              <w:r>
                <w:rPr>
                  <w:rFonts w:ascii="Times New Roman" w:eastAsia="Times New Roman" w:hAnsi="Times New Roman" w:cs="Times New Roman"/>
                  <w:b w:val="0"/>
                  <w:bCs w:val="0"/>
                  <w:i w:val="0"/>
                  <w:iCs w:val="0"/>
                  <w:smallCaps w:val="0"/>
                  <w:color w:val="0000EE"/>
                  <w:sz w:val="20"/>
                  <w:szCs w:val="20"/>
                  <w:u w:val="single" w:color="0000EE"/>
                </w:rPr>
                <w:t>Cybersecurity</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2.</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05" w:history="1">
              <w:r>
                <w:rPr>
                  <w:rFonts w:ascii="Times New Roman" w:eastAsia="Times New Roman" w:hAnsi="Times New Roman" w:cs="Times New Roman"/>
                  <w:b w:val="0"/>
                  <w:bCs w:val="0"/>
                  <w:i w:val="0"/>
                  <w:iCs w:val="0"/>
                  <w:smallCaps w:val="0"/>
                  <w:color w:val="0000EE"/>
                  <w:sz w:val="20"/>
                  <w:szCs w:val="20"/>
                  <w:u w:val="single" w:color="0000EE"/>
                </w:rPr>
                <w:t>Properties.</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3.</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06" w:history="1">
              <w:r>
                <w:rPr>
                  <w:rFonts w:ascii="Times New Roman" w:eastAsia="Times New Roman" w:hAnsi="Times New Roman" w:cs="Times New Roman"/>
                  <w:b w:val="0"/>
                  <w:bCs w:val="0"/>
                  <w:i w:val="0"/>
                  <w:iCs w:val="0"/>
                  <w:smallCaps w:val="0"/>
                  <w:color w:val="0000EE"/>
                  <w:sz w:val="20"/>
                  <w:szCs w:val="20"/>
                  <w:u w:val="single" w:color="0000EE"/>
                </w:rPr>
                <w:t>Legal Proceedings.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4.</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07" w:history="1">
              <w:r>
                <w:rPr>
                  <w:rFonts w:ascii="Times New Roman" w:eastAsia="Times New Roman" w:hAnsi="Times New Roman" w:cs="Times New Roman"/>
                  <w:b w:val="0"/>
                  <w:bCs w:val="0"/>
                  <w:i w:val="0"/>
                  <w:iCs w:val="0"/>
                  <w:smallCaps w:val="0"/>
                  <w:color w:val="0000EE"/>
                  <w:sz w:val="20"/>
                  <w:szCs w:val="20"/>
                  <w:u w:val="single" w:color="0000EE"/>
                </w:rPr>
                <w:t>Mine Safety Disclosures.</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08" w:history="1">
              <w:r>
                <w:rPr>
                  <w:rFonts w:ascii="Times New Roman" w:eastAsia="Times New Roman" w:hAnsi="Times New Roman" w:cs="Times New Roman"/>
                  <w:b w:val="0"/>
                  <w:bCs w:val="0"/>
                  <w:i w:val="0"/>
                  <w:iCs w:val="0"/>
                  <w:smallCaps w:val="0"/>
                  <w:color w:val="0000EE"/>
                  <w:sz w:val="20"/>
                  <w:szCs w:val="20"/>
                  <w:u w:val="single" w:color="0000EE"/>
                </w:rPr>
                <w:t>PART II</w:t>
              </w:r>
            </w:hyperlink>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5.</w:t>
            </w:r>
          </w:p>
        </w:tc>
        <w:tc>
          <w:tcPr>
            <w:shd w:val="clear" w:color="auto" w:fill="CCEEFF"/>
            <w:noWrap w:val="0"/>
            <w:tcMar>
              <w:top w:w="5" w:type="dxa"/>
              <w:left w:w="185" w:type="dxa"/>
              <w:bottom w:w="5" w:type="dxa"/>
              <w:right w:w="5" w:type="dxa"/>
            </w:tcMar>
            <w:vAlign w:val="top"/>
            <w:hideMark/>
          </w:tcPr>
          <w:p>
            <w:pPr>
              <w:ind w:hanging="180"/>
              <w:jc w:val="both"/>
              <w:rPr>
                <w:rFonts w:ascii="Times New Roman" w:eastAsia="Times New Roman" w:hAnsi="Times New Roman" w:cs="Times New Roman"/>
                <w:b w:val="0"/>
                <w:bCs w:val="0"/>
                <w:i w:val="0"/>
                <w:iCs w:val="0"/>
                <w:smallCaps w:val="0"/>
                <w:color w:val="000000"/>
                <w:sz w:val="20"/>
                <w:szCs w:val="20"/>
              </w:rPr>
            </w:pPr>
            <w:hyperlink w:anchor="a_009" w:history="1">
              <w:r>
                <w:rPr>
                  <w:rFonts w:ascii="Times New Roman" w:eastAsia="Times New Roman" w:hAnsi="Times New Roman" w:cs="Times New Roman"/>
                  <w:b w:val="0"/>
                  <w:bCs w:val="0"/>
                  <w:i w:val="0"/>
                  <w:iCs w:val="0"/>
                  <w:smallCaps w:val="0"/>
                  <w:color w:val="0000EE"/>
                  <w:sz w:val="20"/>
                  <w:szCs w:val="20"/>
                  <w:u w:val="single" w:color="0000EE"/>
                </w:rPr>
                <w:t>Market for the Registrant’s Common Equity, Related Stockholder Matters and Issuer Purchases of Equity Securities.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6.</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10" w:history="1">
              <w:r>
                <w:rPr>
                  <w:rFonts w:ascii="Times New Roman" w:eastAsia="Times New Roman" w:hAnsi="Times New Roman" w:cs="Times New Roman"/>
                  <w:b w:val="0"/>
                  <w:bCs w:val="0"/>
                  <w:i w:val="0"/>
                  <w:iCs w:val="0"/>
                  <w:smallCaps w:val="0"/>
                  <w:color w:val="0000EE"/>
                  <w:sz w:val="20"/>
                  <w:szCs w:val="20"/>
                  <w:u w:val="single" w:color="0000EE"/>
                </w:rPr>
                <w:t>[Reserved]</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7.</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11" w:history="1">
              <w:r>
                <w:rPr>
                  <w:rFonts w:ascii="Times New Roman" w:eastAsia="Times New Roman" w:hAnsi="Times New Roman" w:cs="Times New Roman"/>
                  <w:b w:val="0"/>
                  <w:bCs w:val="0"/>
                  <w:i w:val="0"/>
                  <w:iCs w:val="0"/>
                  <w:smallCaps w:val="0"/>
                  <w:color w:val="0000EE"/>
                  <w:sz w:val="20"/>
                  <w:szCs w:val="20"/>
                  <w:u w:val="single" w:color="0000EE"/>
                </w:rPr>
                <w:t>Management’s Discussion and Analysis of Financial Condition and Results of Operations.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7A.</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12" w:history="1">
              <w:r>
                <w:rPr>
                  <w:rFonts w:ascii="Times New Roman" w:eastAsia="Times New Roman" w:hAnsi="Times New Roman" w:cs="Times New Roman"/>
                  <w:b w:val="0"/>
                  <w:bCs w:val="0"/>
                  <w:i w:val="0"/>
                  <w:iCs w:val="0"/>
                  <w:smallCaps w:val="0"/>
                  <w:color w:val="0000EE"/>
                  <w:sz w:val="20"/>
                  <w:szCs w:val="20"/>
                  <w:u w:val="single" w:color="0000EE"/>
                </w:rPr>
                <w:t>Quantitative and Qualitative Disclosures about Market Risk.</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8.</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13" w:history="1">
              <w:r>
                <w:rPr>
                  <w:rFonts w:ascii="Times New Roman" w:eastAsia="Times New Roman" w:hAnsi="Times New Roman" w:cs="Times New Roman"/>
                  <w:b w:val="0"/>
                  <w:bCs w:val="0"/>
                  <w:i w:val="0"/>
                  <w:iCs w:val="0"/>
                  <w:smallCaps w:val="0"/>
                  <w:color w:val="0000EE"/>
                  <w:sz w:val="20"/>
                  <w:szCs w:val="20"/>
                  <w:u w:val="single" w:color="0000EE"/>
                </w:rPr>
                <w:t>Financial Statements and Supplementary Data.</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9.</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14" w:history="1">
              <w:r>
                <w:rPr>
                  <w:rFonts w:ascii="Times New Roman" w:eastAsia="Times New Roman" w:hAnsi="Times New Roman" w:cs="Times New Roman"/>
                  <w:b w:val="0"/>
                  <w:bCs w:val="0"/>
                  <w:i w:val="0"/>
                  <w:iCs w:val="0"/>
                  <w:smallCaps w:val="0"/>
                  <w:color w:val="0000EE"/>
                  <w:sz w:val="20"/>
                  <w:szCs w:val="20"/>
                  <w:u w:val="single" w:color="0000EE"/>
                </w:rPr>
                <w:t>Changes in and Disagreements with Accountants on Accounting and Financial Disclosure.</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9A.</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15" w:history="1">
              <w:r>
                <w:rPr>
                  <w:rFonts w:ascii="Times New Roman" w:eastAsia="Times New Roman" w:hAnsi="Times New Roman" w:cs="Times New Roman"/>
                  <w:b w:val="0"/>
                  <w:bCs w:val="0"/>
                  <w:i w:val="0"/>
                  <w:iCs w:val="0"/>
                  <w:smallCaps w:val="0"/>
                  <w:color w:val="0000EE"/>
                  <w:sz w:val="20"/>
                  <w:szCs w:val="20"/>
                  <w:u w:val="single" w:color="0000EE"/>
                </w:rPr>
                <w:t>Controls and Procedures.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9B.</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16" w:history="1">
              <w:r>
                <w:rPr>
                  <w:rFonts w:ascii="Times New Roman" w:eastAsia="Times New Roman" w:hAnsi="Times New Roman" w:cs="Times New Roman"/>
                  <w:b w:val="0"/>
                  <w:bCs w:val="0"/>
                  <w:i w:val="0"/>
                  <w:iCs w:val="0"/>
                  <w:smallCaps w:val="0"/>
                  <w:color w:val="0000EE"/>
                  <w:sz w:val="20"/>
                  <w:szCs w:val="20"/>
                  <w:u w:val="single" w:color="0000EE"/>
                </w:rPr>
                <w:t>Other Information.</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9C.</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17" w:history="1">
              <w:r>
                <w:rPr>
                  <w:rFonts w:ascii="Times New Roman" w:eastAsia="Times New Roman" w:hAnsi="Times New Roman" w:cs="Times New Roman"/>
                  <w:b w:val="0"/>
                  <w:bCs w:val="0"/>
                  <w:i w:val="0"/>
                  <w:iCs w:val="0"/>
                  <w:smallCaps w:val="0"/>
                  <w:color w:val="0000EE"/>
                  <w:sz w:val="20"/>
                  <w:szCs w:val="20"/>
                  <w:u w:val="single" w:color="0000EE"/>
                </w:rPr>
                <w:t>Disclosure Regarding Foreign Jurisdiction that Prevent Inspections.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18" w:history="1">
              <w:r>
                <w:rPr>
                  <w:rFonts w:ascii="Times New Roman" w:eastAsia="Times New Roman" w:hAnsi="Times New Roman" w:cs="Times New Roman"/>
                  <w:b w:val="0"/>
                  <w:bCs w:val="0"/>
                  <w:i w:val="0"/>
                  <w:iCs w:val="0"/>
                  <w:smallCaps w:val="0"/>
                  <w:color w:val="0000EE"/>
                  <w:sz w:val="20"/>
                  <w:szCs w:val="20"/>
                  <w:u w:val="single" w:color="0000EE"/>
                </w:rPr>
                <w:t>PART III</w:t>
              </w:r>
            </w:hyperlink>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10.</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19" w:history="1">
              <w:r>
                <w:rPr>
                  <w:rFonts w:ascii="Times New Roman" w:eastAsia="Times New Roman" w:hAnsi="Times New Roman" w:cs="Times New Roman"/>
                  <w:b w:val="0"/>
                  <w:bCs w:val="0"/>
                  <w:i w:val="0"/>
                  <w:iCs w:val="0"/>
                  <w:smallCaps w:val="0"/>
                  <w:color w:val="0000EE"/>
                  <w:sz w:val="20"/>
                  <w:szCs w:val="20"/>
                  <w:u w:val="single" w:color="0000EE"/>
                </w:rPr>
                <w:t>Directors, Executive Officers and Corporate Governance.</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20" w:history="1">
              <w:r>
                <w:rPr>
                  <w:rFonts w:ascii="Times New Roman" w:eastAsia="Times New Roman" w:hAnsi="Times New Roman" w:cs="Times New Roman"/>
                  <w:b w:val="0"/>
                  <w:bCs w:val="0"/>
                  <w:i w:val="0"/>
                  <w:iCs w:val="0"/>
                  <w:smallCaps w:val="0"/>
                  <w:color w:val="0000EE"/>
                  <w:sz w:val="20"/>
                  <w:szCs w:val="20"/>
                  <w:u w:val="single" w:color="0000EE"/>
                </w:rPr>
                <w:t>Executive Compensation.</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12.</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21" w:history="1">
              <w:r>
                <w:rPr>
                  <w:rFonts w:ascii="Times New Roman" w:eastAsia="Times New Roman" w:hAnsi="Times New Roman" w:cs="Times New Roman"/>
                  <w:b w:val="0"/>
                  <w:bCs w:val="0"/>
                  <w:i w:val="0"/>
                  <w:iCs w:val="0"/>
                  <w:smallCaps w:val="0"/>
                  <w:color w:val="0000EE"/>
                  <w:sz w:val="20"/>
                  <w:szCs w:val="20"/>
                  <w:u w:val="single" w:color="0000EE"/>
                </w:rPr>
                <w:t>Security Ownership of Certain Beneficial Owners and Management and Related Stockholders Matters.</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13.</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22" w:history="1">
              <w:r>
                <w:rPr>
                  <w:rFonts w:ascii="Times New Roman" w:eastAsia="Times New Roman" w:hAnsi="Times New Roman" w:cs="Times New Roman"/>
                  <w:b w:val="0"/>
                  <w:bCs w:val="0"/>
                  <w:i w:val="0"/>
                  <w:iCs w:val="0"/>
                  <w:smallCaps w:val="0"/>
                  <w:color w:val="0000EE"/>
                  <w:sz w:val="20"/>
                  <w:szCs w:val="20"/>
                  <w:u w:val="single" w:color="0000EE"/>
                </w:rPr>
                <w:t>Certain Relationships and Related Transactions, and Director Independence.</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14.</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23" w:history="1">
              <w:r>
                <w:rPr>
                  <w:rFonts w:ascii="Times New Roman" w:eastAsia="Times New Roman" w:hAnsi="Times New Roman" w:cs="Times New Roman"/>
                  <w:b w:val="0"/>
                  <w:bCs w:val="0"/>
                  <w:i w:val="0"/>
                  <w:iCs w:val="0"/>
                  <w:smallCaps w:val="0"/>
                  <w:color w:val="0000EE"/>
                  <w:sz w:val="20"/>
                  <w:szCs w:val="20"/>
                  <w:u w:val="single" w:color="0000EE"/>
                </w:rPr>
                <w:t>Principal Accountant Fees and Services.</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24" w:history="1">
              <w:r>
                <w:rPr>
                  <w:rFonts w:ascii="Times New Roman" w:eastAsia="Times New Roman" w:hAnsi="Times New Roman" w:cs="Times New Roman"/>
                  <w:b w:val="0"/>
                  <w:bCs w:val="0"/>
                  <w:i w:val="0"/>
                  <w:iCs w:val="0"/>
                  <w:smallCaps w:val="0"/>
                  <w:color w:val="0000EE"/>
                  <w:sz w:val="20"/>
                  <w:szCs w:val="20"/>
                  <w:u w:val="single" w:color="0000EE"/>
                </w:rPr>
                <w:t>PART IV</w:t>
              </w:r>
            </w:hyperlink>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15.</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25" w:history="1">
              <w:r>
                <w:rPr>
                  <w:rFonts w:ascii="Times New Roman" w:eastAsia="Times New Roman" w:hAnsi="Times New Roman" w:cs="Times New Roman"/>
                  <w:b w:val="0"/>
                  <w:bCs w:val="0"/>
                  <w:i w:val="0"/>
                  <w:iCs w:val="0"/>
                  <w:smallCaps w:val="0"/>
                  <w:color w:val="0000EE"/>
                  <w:sz w:val="20"/>
                  <w:szCs w:val="20"/>
                  <w:u w:val="single" w:color="0000EE"/>
                </w:rPr>
                <w:t>Exhibits, Financial Statement Schedules.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26" w:history="1">
              <w:r>
                <w:rPr>
                  <w:rFonts w:ascii="Times New Roman" w:eastAsia="Times New Roman" w:hAnsi="Times New Roman" w:cs="Times New Roman"/>
                  <w:b w:val="0"/>
                  <w:bCs w:val="0"/>
                  <w:i w:val="0"/>
                  <w:iCs w:val="0"/>
                  <w:smallCaps w:val="0"/>
                  <w:color w:val="0000EE"/>
                  <w:sz w:val="20"/>
                  <w:szCs w:val="20"/>
                  <w:u w:val="single" w:color="0000EE"/>
                </w:rPr>
                <w:t>SIGNATURES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27" w:history="1">
              <w:r>
                <w:rPr>
                  <w:rFonts w:ascii="Times New Roman" w:eastAsia="Times New Roman" w:hAnsi="Times New Roman" w:cs="Times New Roman"/>
                  <w:b w:val="0"/>
                  <w:bCs w:val="0"/>
                  <w:i w:val="0"/>
                  <w:iCs w:val="0"/>
                  <w:smallCaps w:val="0"/>
                  <w:color w:val="0000EE"/>
                  <w:sz w:val="20"/>
                  <w:szCs w:val="20"/>
                  <w:u w:val="single" w:color="0000EE"/>
                </w:rPr>
                <w:t>EXHIBIT INDEX</w:t>
              </w:r>
            </w:hyperlink>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w:t>
            </w:r>
          </w:p>
        </w:tc>
      </w:tr>
      <w:tr>
        <w:tblPrEx>
          <w:tblW w:w="5000" w:type="pct"/>
          <w:tblInd w:w="5" w:type="dxa"/>
          <w:tblCellMar>
            <w:top w:w="0" w:type="dxa"/>
            <w:left w:w="0" w:type="dxa"/>
            <w:bottom w:w="0" w:type="dxa"/>
            <w:right w:w="0" w:type="dxa"/>
          </w:tblCellMar>
        </w:tblPrEx>
        <w:tc>
          <w:tcPr>
            <w:gridSpan w:val="2"/>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w:anchor="a_028" w:history="1">
              <w:r>
                <w:rPr>
                  <w:rFonts w:ascii="Times New Roman" w:eastAsia="Times New Roman" w:hAnsi="Times New Roman" w:cs="Times New Roman"/>
                  <w:b w:val="0"/>
                  <w:bCs w:val="0"/>
                  <w:i w:val="0"/>
                  <w:iCs w:val="0"/>
                  <w:smallCaps w:val="0"/>
                  <w:color w:val="0000EE"/>
                  <w:sz w:val="20"/>
                  <w:szCs w:val="20"/>
                  <w:u w:val="single" w:color="0000EE"/>
                </w:rPr>
                <w:t>FINANCIAL STATEMENTS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F-1</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FORWARD-LOOKING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statements contained in this report with respect to our financial condition, results of operations and business that are not historical facts are “forward-looking statements”. Forward-looking statements can be identified by the use of forward-looking terminology, such as “anticipate”, “believe”, “expect”, “plan”, “intend”, “seek”, “estimate”, “project”, “could”, “may” or the negative thereof or other variations thereon, or by discussions of strategy that involve risks and uncertainties. Management wishes to caution the reader of the forward-looking statements that any such statements that are contained in this report reflect our current beliefs with respect to future events and involve known and unknown risks, uncertainties and other factors, including, but not limited to, economic, competitive, regulatory, technological, key employees, and general business factors affecting our operations, markets, growth, services, products, licenses and other factors, some of which are described in this report including in “Risk Factors” in Item 1A and some of which are discussed in our other filings with the SEC. These forward-looking statements are only estimates or predictions. No assurances can be given regarding the achievement of future results, as actual results may differ materially as a result of risks facing our company, and actual events may differ from the assumptions underlying the statements that have been made regarding anticipated events.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risk factors should be considered in connection with any subsequent written or oral forward-looking statements that we or persons acting on our behalf may issue. All written and oral forward looking statements made in connection with this report that are attributable to our company or persons acting on our behalf are expressly qualified in their entirety by these cautionary statements. Given these uncertainties, we caution investors not to unduly rely on our forward-looking statements. We do not undertake any obligation to review or confirm analysts’ expectations or estimates or to release publicly any revisions to any forward-looking statements to reflect events or circumstances after the date of this report or to reflect the occurrence of unanticipated events, except as required by applicable law or regulation.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Notwithstanding the above, Section 27A of the Securities Act of 1933, as amended (the “Securities Act”) and Section 21E of the Securities Exchange Act of 1934, as amended (the “Exchange Act”) expressly state that the safe harbor for forward-looking statements does not apply to companies that issue penny stock. If we are ever considered to be an issuer of penny stock, the safe harbor for forward-looking statements may not apply to us at certain times.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ii</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bookmarkStart w:id="0" w:name="s_001"/>
      <w:bookmarkEnd w:id="0"/>
      <w:r>
        <w:rPr>
          <w:rFonts w:ascii="Times New Roman" w:eastAsia="Times New Roman" w:hAnsi="Times New Roman" w:cs="Times New Roman"/>
          <w:b/>
          <w:bCs/>
          <w:i w:val="0"/>
          <w:iCs w:val="0"/>
          <w:smallCaps w:val="0"/>
          <w:sz w:val="20"/>
          <w:szCs w:val="20"/>
        </w:rPr>
        <w:t>PART I</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 w:name="a_001"/>
      <w:bookmarkEnd w:id="1"/>
      <w:r>
        <w:rPr>
          <w:rFonts w:ascii="Times New Roman" w:eastAsia="Times New Roman" w:hAnsi="Times New Roman" w:cs="Times New Roman"/>
          <w:b/>
          <w:bCs/>
          <w:i w:val="0"/>
          <w:iCs w:val="0"/>
          <w:smallCaps w:val="0"/>
          <w:sz w:val="20"/>
          <w:szCs w:val="20"/>
        </w:rPr>
        <w:t>ITEM 1.</w:t>
      </w: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bCs/>
          <w:i w:val="0"/>
          <w:iCs w:val="0"/>
          <w:smallCaps w:val="0"/>
          <w:sz w:val="20"/>
          <w:szCs w:val="20"/>
        </w:rPr>
        <w:t>BUSINESS.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Overview</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Holdings Inc. (the “Company”, “China Pharma”, “we”, “us”, or “our”) is a Nevada holding company. China Pharma is not a Chinese operating company and all the operations are all conducted by our wholly owned subsidiary, Hainan Helpson Medical and Biotechnology Co., Ltd. (“Helpson”) and its subsidiaries in China. We, through Helpson, are principally engaged in the development, manufacture and marketing of pharmaceutical products for human use in connection with a variety of high-incidence and high-mortality diseases and medical conditions prevalent in the People’s Republic of China (the “PRC”). All of the operations are conducted in the PRC, where the manufacturing facilities are located. Helpson manufactures pharmaceutical products in the form of dry powder injectables, liquid injectables, tablets, capsules, and cephalosporin oral solutions. The majority of Helpson’s pharmaceutical products are sold on a prescription basis and all of them have been approved for at least one or more therapeutic indications by the National Medical Products Administration (the “NMPA”, formerly China Food and Drug Administration, CFDA) based upon demonstrated safety and efficacy.</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2023, China Pharma, through Helpson, manufactured 19 pharmaceutical products for a wide variety of diseases and medical indications, each of which may be classified into one of three general categories: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 generic drugs, which are common drugs in the PRC for which there is a very large market demand;</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First-to-market generic drugs, which are generic drugs that are new to the PRC marketplace; or</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Modern Traditional Chinese Medicines (“TCMs”), which are generally comprised of non-synthetic, plant-based medicinal compounds that have been widely used in the PRC for thousands of years. We apply modern production techniques to produce pharmaceutical products in different formulations, such as tablets, capsules or powders.</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selecting generic drugs to develop and manufacture, we consider several factors, including the number of other manufacturers currently producing the particular drug, the size of the market for that drug, the proposed or required method of distribution, the existing and expected pricing for that particular drug in the marketplace, the costs of manufacturing the drug, and the costs of acquiring or developing the formula for the drug. We believe that generic drugs we have always been selecting to manufacture have large addressable markets and higher profit margins relative to other generic drugs manufactured and distributed in the PRC.</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China Pharma, through Helpson, manufactured comprehensive healthcare products and protective products.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through Helpson, currently own and operate two production facilities in Haikou, Hainan Province, PRC. One has a construction area of 663.94 square meters, the other factory has two buildings with production area of 20,282.42 square meters and 6,593.20 square meters. We implement quality control procedures in this facility in compliance with the PRC’s Good Manufacturing Practices, or GMP standards, and applicable NMPA regulations to ensure consistent quality in our products.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The NMPA promulgated </w:t>
      </w:r>
      <w:r>
        <w:rPr>
          <w:rFonts w:ascii="Times New Roman" w:eastAsia="Times New Roman" w:hAnsi="Times New Roman" w:cs="Times New Roman"/>
          <w:b w:val="0"/>
          <w:bCs w:val="0"/>
          <w:i/>
          <w:iCs/>
          <w:smallCaps w:val="0"/>
          <w:sz w:val="20"/>
          <w:szCs w:val="20"/>
        </w:rPr>
        <w:t>Good Manufacturing Practices for Pharmaceutical Products</w:t>
      </w:r>
      <w:r>
        <w:rPr>
          <w:rFonts w:ascii="Times New Roman" w:eastAsia="Times New Roman" w:hAnsi="Times New Roman" w:cs="Times New Roman"/>
          <w:b w:val="0"/>
          <w:bCs w:val="0"/>
          <w:i w:val="0"/>
          <w:iCs w:val="0"/>
          <w:smallCaps w:val="0"/>
          <w:sz w:val="20"/>
          <w:szCs w:val="20"/>
        </w:rPr>
        <w:t xml:space="preserve"> (2010 revised version) on February 12, 2011 (effective as of March 1, 2011) (the “Year 2011 GMP Standards”). The Year 2011 GMP Standards outlines the basic principles and standards for the manufacturing of pharmaceutical products and the management of quality controls in the pharmaceutical products manufacturing industry in the PRC. All of Helpson’s production lines: tablets, capsules, dry powder, liquid injectables, solid oral solution Cephalosporins (specifically designated), are in full compliance with the Year 2011 GMP Standards. A newly revised Drug Administration Law (the “New Law”) came into effect on December 1, 2019. The New Law cancelled the GMP certification but impose the pilot inspection mechanism in the event that if any production line(s) does not satisfy any pilot inspection under the New Law, the production on such production line(s) could be suspended. As of the date of this annual report, Helpson’s production lines are in full compliance with the New Law.</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markets and sells its products through 16 sales offices covering all major cities and provinces in the PRC. To comply with applicable Chinese laws relating to sales of prescription drugs to certain hospitals and clinics, Helpson also uses a distribution system comprised of over 1,000 independent provincial-level, city-level, and county-level distributors. Helpson’s sales system has further developed and expanded with the expansion of Chinese healthcare reform, and its 16 provincial offices deliver the products to basic health care institutions as well as tier two and tier three hospitals through the above mentioned distributors.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corporate organizational chart is set forth below.</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trike w:val="0"/>
          <w:sz w:val="20"/>
          <w:szCs w:val="20"/>
          <w:u w:val="none"/>
        </w:rPr>
        <w:drawing>
          <wp:inline>
            <wp:extent cx="2857500" cy="26193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243515" name=""/>
                    <pic:cNvPicPr>
                      <a:picLocks noChangeAspect="1"/>
                    </pic:cNvPicPr>
                  </pic:nvPicPr>
                  <pic:blipFill>
                    <a:blip xmlns:r="http://schemas.openxmlformats.org/officeDocument/2006/relationships" r:embed="rId4"/>
                    <a:stretch>
                      <a:fillRect/>
                    </a:stretch>
                  </pic:blipFill>
                  <pic:spPr>
                    <a:xfrm>
                      <a:off x="0" y="0"/>
                      <a:ext cx="2857500" cy="2619375"/>
                    </a:xfrm>
                    <a:prstGeom prst="rect">
                      <a:avLst/>
                    </a:prstGeom>
                  </pic:spPr>
                </pic:pic>
              </a:graphicData>
            </a:graphic>
          </wp:inline>
        </w:drawing>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Industry Background and Market Opportunities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the relevant data of the pharmaceutical manufacturing industry released by the National Bureau of Statistics of the People’s Republic of China (“NBS”), as of the first half of 2023, the cumulative value of the operating revenue of the pharmaceutical manufacturing industry in China was RMB1,250 billion, down 2.9% from the same period last year; the accumulated value of profit was RMB179 billion, down 17.1% from the same period last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While fully enjoying the expansion of the industry out of rigid demand, the development of the pharmaceutical industry is also under the pressure of medical insurance fee control. According to the data of NBS, the proportion of China’s population over the age of 65 has reached 15.4% by the end of 2023. With the gradual deepening of population aging, the demand continues to be strong, but the ensuing medical insurance pressure has also become the main theme of industrial policy changes in recent years.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one hand, more and more people use medical insurance funds; on the other hand, fewer and fewer people pay premiums. Under this circumstance, population aging has become one of the main factors aggravating the imbalance of medical insurance fund. According to the latest </w:t>
      </w:r>
      <w:r>
        <w:rPr>
          <w:rFonts w:ascii="Times New Roman" w:eastAsia="Times New Roman" w:hAnsi="Times New Roman" w:cs="Times New Roman"/>
          <w:b w:val="0"/>
          <w:bCs w:val="0"/>
          <w:i/>
          <w:iCs/>
          <w:smallCaps w:val="0"/>
          <w:sz w:val="20"/>
          <w:szCs w:val="20"/>
        </w:rPr>
        <w:t>Statistical Bulletin on the Development of National Medical Insurance in 2022</w:t>
      </w:r>
      <w:r>
        <w:rPr>
          <w:rFonts w:ascii="Times New Roman" w:eastAsia="Times New Roman" w:hAnsi="Times New Roman" w:cs="Times New Roman"/>
          <w:b w:val="0"/>
          <w:bCs w:val="0"/>
          <w:i w:val="0"/>
          <w:iCs w:val="0"/>
          <w:smallCaps w:val="0"/>
          <w:sz w:val="20"/>
          <w:szCs w:val="20"/>
        </w:rPr>
        <w:t xml:space="preserve"> issued by NBS, the number of people participating in national basic medical insurance reached 1.35 billion in 2022, and the participation rate remained stable at more than 95%. According to the </w:t>
      </w:r>
      <w:r>
        <w:rPr>
          <w:rFonts w:ascii="Times New Roman" w:eastAsia="Times New Roman" w:hAnsi="Times New Roman" w:cs="Times New Roman"/>
          <w:b w:val="0"/>
          <w:bCs w:val="0"/>
          <w:i/>
          <w:iCs/>
          <w:smallCaps w:val="0"/>
          <w:sz w:val="20"/>
          <w:szCs w:val="20"/>
        </w:rPr>
        <w:t>national medical security plan for the 14</w:t>
      </w:r>
      <w:r>
        <w:rPr>
          <w:rFonts w:ascii="Times New Roman" w:eastAsia="Times New Roman" w:hAnsi="Times New Roman" w:cs="Times New Roman"/>
          <w:b w:val="0"/>
          <w:bCs w:val="0"/>
          <w:i/>
          <w:iCs/>
          <w:smallCaps w:val="0"/>
          <w:sz w:val="25"/>
          <w:szCs w:val="25"/>
          <w:vertAlign w:val="superscript"/>
        </w:rPr>
        <w:t>th</w:t>
      </w:r>
      <w:r>
        <w:rPr>
          <w:rFonts w:ascii="Times New Roman" w:eastAsia="Times New Roman" w:hAnsi="Times New Roman" w:cs="Times New Roman"/>
          <w:b w:val="0"/>
          <w:bCs w:val="0"/>
          <w:i/>
          <w:iCs/>
          <w:smallCaps w:val="0"/>
          <w:sz w:val="20"/>
          <w:szCs w:val="20"/>
        </w:rPr>
        <w:t xml:space="preserve"> five-year-plan</w:t>
      </w:r>
      <w:r>
        <w:rPr>
          <w:rFonts w:ascii="Times New Roman" w:eastAsia="Times New Roman" w:hAnsi="Times New Roman" w:cs="Times New Roman"/>
          <w:b w:val="0"/>
          <w:bCs w:val="0"/>
          <w:i w:val="0"/>
          <w:iCs w:val="0"/>
          <w:smallCaps w:val="0"/>
          <w:sz w:val="20"/>
          <w:szCs w:val="20"/>
        </w:rPr>
        <w:t xml:space="preserve"> issued by the General Office of the State Council of China on September 29, 2021, personal health expenditure only occupied 27.7% of the total health expenditure in 2020, and it is expected to remain to be at around 27% by 2025. This means that the vast majority of medical and health expenditure is being borne by the government and society. Under the background of medical insurance adjustment, domestic drug sales have also experienced great changes. The use of adjuvant drugs has gradually fallen out of favor, giving up the share of medical insurance funds for specialized drugs and tumor drugs with more clinical efficacy. Under such policies, pharmaceutical enterprises have to carry out innovation and transform, and the overall environment of deepening medical reform has greatly reduced the profits of generic pharmaceutical enterprises in China.</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National Healthcare Security Administration (“NHSA”) has gradually promoted volume-based procurement for the entire national market, therefore, pharmaceutical manufacturers have greatly reduced the price in order to win the bid. Since 2018, the National Medical Insurance Bureau of China (“NMIB”) has organized nine batches of national organized drug procurement, including a total of 374 drugs, with an average price reduction of over 50%. The ninth batch of China’s state-organized centralized drug procurement was announced in Shanghai on November 6, 2023, of which 41 drugs were successfully purchased, and the average price of selected drugs was reduced by 58%. The collection covers infections, tumors, cardiovascular and cerebrovascular diseases, gastrointestinal diseases, mental diseases and other common diseases, chronic drugs, as well as emergency drugs, drugs in short supply and other key drugs to improve the sense of gain of the masses. The National Medical Insurance Bureau is working with relevant departments to guide selected enterprises in the implementation of the marketing of the selected products, and in March 2024, patients across the country have been able to purchase products selected in the ninth batch with reduced price.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also have observed the continuous improvement in medical demand and consumption level in recent years, and the value of high-quality medicine with innovation and consumption attributes has become prominent. In addition, in February 2023, the Implementation Plan of the Major Project for the Revitalization and Development of Traditional Chinese Medicine issued by The General Office of the State Council of China made it clear that traditional Chinese medicine will become an important supporting force for the construction of a healthy China. In the future, with the advancement of medical insurance and centralized procurement policies, TCM treatment and conditioning will be favored by more patients. The market size of TCM has been rising year by year, reaching RMB 697 billion in 2022, an increase of 2.63% year-on-year.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Impact from the New Coronavirus Global Pandemic (“COVID-19”)</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the epidemic has entered the era of JN1 mutant, its infectivity has been further enhanced, but its pathogenicity has been significantly weakened. In addition, vaccination has been popularized and prevention and control experience has been accumulated. Some countries around the world have significantly loosed the epidemic prevention and control, and moved to a new stage of coexistence with the virus. Recently, China’s epidemic prevention and control guidance has also been continuously optimized, which includes the end of zero-case policy.</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December 25, 2022, the China’s National Health Commission of China will no longer release daily epidemic information. On December 26, 2022, the National Health Commission issued the Plan for “Class B disease and Class B Control” of COVID-19 Infection (the “Plan”). The Plan clearly points out that the “COVID-19 infection” will be adjusted from “Class B disease and Class A Control” to “Class B disease and Class B Control” from January 8, 2023, which is a major adjustment of China’s COVID-19 epidemic prevention and control policy. At the same time, the Plan points out that quarantine infectious disease management measures will no longer be taken for people and goods entering the country. This means that China’s prevention and control will focus on “protecting health and preventing severe diseases” to minimize the impact of the epidemic on economic and social development.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May 5, 2023, the World Health Organization announced that the COVID-19 epidemic would no longer constitute a “public health emergency of international concern”.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Intercompany activities between the holding company and our subsidiaries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the date of this report, none of our subsidiaries has distributed any dividends to China Pharma, nor has China Pharma distributed any dividends to the investors. The Company currently has no intention to distribute earnings to the shareholders and investors. The tables below present cash flow transfer between China Pharma and Helpson, through China Pharma’s wholly owned subsidiary Onny Investment Limited (“Onny”) for the year ended December 31, 2023 and 2022. The Company’s management understands that there is no tax consequences for cash flow transfers between China Pharma and Helpson through Onny.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72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tbl>
      <w:tblPr>
        <w:tblW w:w="5000" w:type="pct"/>
        <w:tblInd w:w="5" w:type="dxa"/>
        <w:tblCellMar>
          <w:top w:w="0" w:type="dxa"/>
          <w:left w:w="0" w:type="dxa"/>
          <w:bottom w:w="0" w:type="dxa"/>
          <w:right w:w="0" w:type="dxa"/>
        </w:tblCellMar>
      </w:tblPr>
      <w:tblGrid>
        <w:gridCol w:w="304"/>
        <w:gridCol w:w="91"/>
        <w:gridCol w:w="2730"/>
        <w:gridCol w:w="91"/>
        <w:gridCol w:w="1018"/>
        <w:gridCol w:w="91"/>
        <w:gridCol w:w="104"/>
        <w:gridCol w:w="1207"/>
        <w:gridCol w:w="91"/>
        <w:gridCol w:w="91"/>
        <w:gridCol w:w="3539"/>
      </w:tblGrid>
      <w:tr>
        <w:tblPrEx>
          <w:tblW w:w="5000" w:type="pct"/>
          <w:tblInd w:w="5" w:type="dxa"/>
          <w:tblCellMar>
            <w:top w:w="0" w:type="dxa"/>
            <w:left w:w="0" w:type="dxa"/>
            <w:bottom w:w="0" w:type="dxa"/>
            <w:right w:w="0" w:type="dxa"/>
          </w:tblCellMar>
        </w:tblPrEx>
        <w:tc>
          <w:tcPr>
            <w:gridSpan w:val="11"/>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For the year ended December 31, 2023</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No.</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Transfer from</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Transfer to</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Approximate value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Note</w:t>
            </w:r>
          </w:p>
        </w:tc>
      </w:tr>
      <w:tr>
        <w:tblPrEx>
          <w:tblW w:w="5000" w:type="pct"/>
          <w:tblInd w:w="5" w:type="dxa"/>
          <w:tblCellMar>
            <w:top w:w="0" w:type="dxa"/>
            <w:left w:w="0" w:type="dxa"/>
            <w:bottom w:w="0" w:type="dxa"/>
            <w:right w:w="0" w:type="dxa"/>
          </w:tblCellMar>
        </w:tblPrEx>
        <w:tc>
          <w:tcPr>
            <w:tcW w:w="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1</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15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Helpson (via Onny)</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5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China Pharma</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6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30,000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19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For the payment of the agent service fees of China Pharma</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04"/>
        <w:gridCol w:w="91"/>
        <w:gridCol w:w="2731"/>
        <w:gridCol w:w="91"/>
        <w:gridCol w:w="1018"/>
        <w:gridCol w:w="91"/>
        <w:gridCol w:w="93"/>
        <w:gridCol w:w="1208"/>
        <w:gridCol w:w="91"/>
        <w:gridCol w:w="91"/>
        <w:gridCol w:w="3547"/>
      </w:tblGrid>
      <w:tr>
        <w:tblPrEx>
          <w:tblW w:w="5000" w:type="pct"/>
          <w:tblInd w:w="5" w:type="dxa"/>
          <w:tblCellMar>
            <w:top w:w="0" w:type="dxa"/>
            <w:left w:w="0" w:type="dxa"/>
            <w:bottom w:w="0" w:type="dxa"/>
            <w:right w:w="0" w:type="dxa"/>
          </w:tblCellMar>
        </w:tblPrEx>
        <w:tc>
          <w:tcPr>
            <w:gridSpan w:val="11"/>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For the year ended December 31, 2022</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No.</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Transfer from</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Transfer to</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Approximate value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Note</w:t>
            </w:r>
          </w:p>
        </w:tc>
      </w:tr>
      <w:tr>
        <w:tblPrEx>
          <w:tblW w:w="5000" w:type="pct"/>
          <w:tblInd w:w="5" w:type="dxa"/>
          <w:tblCellMar>
            <w:top w:w="0" w:type="dxa"/>
            <w:left w:w="0" w:type="dxa"/>
            <w:bottom w:w="0" w:type="dxa"/>
            <w:right w:w="0" w:type="dxa"/>
          </w:tblCellMar>
        </w:tblPrEx>
        <w:tc>
          <w:tcPr>
            <w:tcW w:w="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1</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15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China Pharma (via Onny)</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5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Helpson</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6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1,300,000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tcW w:w="19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For Helpson’s operations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cash management policy basically is to allocate the cash resources based on the needs and projection of each subsidiary within the Company. Although the purpose of all transfers needs to be business operation-related, there is no strict limitation on how much cash can be transferred, because the Company treats all subsidiaries as a whole group under the Company’s policy of the fund transfer. The cash transfer is requested when needed and approved by authorized persons based on the amount of cash transfer.</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Consistency Evaluation for Generic Drugs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the disclosure of the State Drug Administration of China in May 2022: China’s modern pharmaceutical industry started relatively late, and drug production is dominated by imitation. More than 95% of the drugs approved for marketing are generic drugs, covering nearly 30 treatment fields such as cardio-cerebrovascular system, respiratory system, anti-tumor, anti-infection, etc., which basically satisfy public drug demand. A total of 916 supplementary application acceptance numbers passed the consistency evaluation, and 1,803 new registration classification generic drug market application acceptance numbers were deemed to have passed the consistency evaluation in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the requirements of the relevant documents of the State Council of China, in the reform of the review and approval system of drugs and medical devices, the state has listed the improvement of the quality of generic drugs as one of the important reform objectives. For the generic drugs that have been approved for marketing, the consistency evaluation shall be carried out in stages and batches according to the principle of consistency with the quality and efficacy of the original drug.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17, 2019, the State Council released the “</w:t>
      </w:r>
      <w:r>
        <w:rPr>
          <w:rFonts w:ascii="Times New Roman" w:eastAsia="Times New Roman" w:hAnsi="Times New Roman" w:cs="Times New Roman"/>
          <w:b w:val="0"/>
          <w:bCs w:val="0"/>
          <w:i/>
          <w:iCs/>
          <w:smallCaps w:val="0"/>
          <w:sz w:val="20"/>
          <w:szCs w:val="20"/>
        </w:rPr>
        <w:t>Pilot Program for the Centralized Procurement and Use of Drugs by the State Organization</w:t>
      </w:r>
      <w:r>
        <w:rPr>
          <w:rFonts w:ascii="Times New Roman" w:eastAsia="Times New Roman" w:hAnsi="Times New Roman" w:cs="Times New Roman"/>
          <w:b w:val="0"/>
          <w:bCs w:val="0"/>
          <w:i w:val="0"/>
          <w:iCs w:val="0"/>
          <w:smallCaps w:val="0"/>
          <w:sz w:val="20"/>
          <w:szCs w:val="20"/>
        </w:rPr>
        <w:t>” (“the Program”). According to the Program, the trial drugs are selected from the generic drugs that have passed the consistency evaluation, and the state organizes the centralized purchase of drugs to reduce the drug price and reduce the burden of drug expenses on patients.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Drug Evaluation Center of the National Medical Products Administration issued the “</w:t>
      </w:r>
      <w:r>
        <w:rPr>
          <w:rFonts w:ascii="Times New Roman" w:eastAsia="Times New Roman" w:hAnsi="Times New Roman" w:cs="Times New Roman"/>
          <w:b w:val="0"/>
          <w:bCs w:val="0"/>
          <w:i/>
          <w:iCs/>
          <w:smallCaps w:val="0"/>
          <w:sz w:val="20"/>
          <w:szCs w:val="20"/>
        </w:rPr>
        <w:t>Guidelines for Acceptance and Review of Quality and Efficacy Consistency Evaluation of Generic Drugs (Draft for Soliciting Opinions)</w:t>
      </w:r>
      <w:r>
        <w:rPr>
          <w:rFonts w:ascii="Times New Roman" w:eastAsia="Times New Roman" w:hAnsi="Times New Roman" w:cs="Times New Roman"/>
          <w:b w:val="0"/>
          <w:bCs w:val="0"/>
          <w:i w:val="0"/>
          <w:iCs w:val="0"/>
          <w:smallCaps w:val="0"/>
          <w:sz w:val="20"/>
          <w:szCs w:val="20"/>
        </w:rPr>
        <w:t>” (the “Guideline”) in September 2023, which reiterated that within three years after the first product passed the consistency evaluation, they will not accept applications from other pharmaceutical manufacturers for consistency evaluation of the same product.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has actively promoted the consistency evaluation process of several important products in 2023; and its flagship product, Candesartan, has passed the evaluation of consistency in August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The PRC Legal System</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Legal and Operational Risks Associated with Having the Majority of the Company’s Operations in China</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PRC legal system is based on written statutes. The laws, regulations and legal requirements of China are relatively new and are often changing, and their interpretation and enforcement depend to a large extent on relevant government policy and involve significant uncertainties that could limit the reliability of the legal protections available to us. New laws and regulations that affect existing and proposed future businesses may also be applied retroactively.</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PRC government has broad discretion in dealing with violations of laws and regulations, including levying fines, revoking business and other licenses and requiring actions necessary for compliance. We cannot predict the effect of the interpretation of existing or new PRC laws or regulations on our businesses. We cannot assure you that our current ownership and operating structure would not be found in violation of any current or future PRC laws or regulations. As a result, we may be subject to sanctions, including fines, and could be required to restructure our operations or cease to provide certain services. In addition, any litigation in China may be protracted and result in substantial costs and diversion of resources and management attention. Any of these or similar actions could significantly disrupt our business operations or restrict us from conducting a substantial portion of our business operations, which could materially and adversely affect our business, financial condition and results of operations.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the enforcement of laws and regulations in China can change quickly with little advance notice. In 2021, the PRC government initiated a series of regulatory actions and statements to regulate business operations in China with little advance notice, including cracking down on illegal activities in the securities market, enhancing supervision over China-based companies listed overseas, adopting new measures to extend the scope of cybersecurity reviews, and expanding the efforts in anti-monopoly enforcement. Since these statements and regulatory actions are new, it is highly uncertain how soon legislative or administrative regulation making bodies will respond and what existing or new laws or regulations or detailed implementations and interpretations will be modified or promulgated, if any, and the potential impact such modified or new laws and regulations will have on our daily business operation, the ability to accept foreign investments and list on an U.S. or other foreign exchange. Any action by the Chinese government to exert more oversight and control over foreign investment in China-based companies could result in a material change in our operation, cause the value of our ordinary shares to significantly decline or become worthless, and significantly limit, or completely hinder our ability to offer or continue to offer our ordinary shares to investors and cause the value of such securities to significantly decline or be worthless.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cannot predict the effects of future developments in government policy or the PRC legal system in general. We may be required in the future to procure additional permits, authorizations and approvals for our existing and future operations, which may not be obtainable in a timely fashion or at all, or may involve substantial costs and unforeseen risks. An inability to obtain, or the incurrence of substantial costs in obtaining, such permits, authorizations and approvals may have a material adverse effect on our business, financial condition and results of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CSRC Filing Requirements and Cybersecurity Review</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As China Pharma is already publicly listed in the U.S., the Trial Measures (as defined below) do not impose additional regulatory burden on us beyond the obligation to report to the CSRC any future offerings of our securities, or material events such as a change of control or delisting. In addition, we believe that we are not subject to cybersecurity review, since we (i) are not network platform operators engaging in data processing activities that affect or may affect national security; (ii) are not critical information infrastructure operators purchasing cyber products or services that affect or may affect national security; (iii) are not network platform operators with personal information data of more than one million users and do not need to obtain any permission or approval from the CAC in accordance with the New Measures for Cyber Security Review. See </w:t>
      </w:r>
      <w:r>
        <w:rPr>
          <w:rFonts w:ascii="Times New Roman" w:eastAsia="Times New Roman" w:hAnsi="Times New Roman" w:cs="Times New Roman"/>
          <w:b w:val="0"/>
          <w:bCs w:val="0"/>
          <w:i/>
          <w:iCs/>
          <w:smallCaps w:val="0"/>
          <w:sz w:val="20"/>
          <w:szCs w:val="20"/>
        </w:rPr>
        <w:t>“Risk Factor - We are not required to submit an application to CSRC pursuant to the M&amp;A Rules, nor are we subject to the cybersecurity review. However, based on the recent promulgation of the Trial Measures, which became effective on March 31, 2023, we may be required to complete the filing requirements when we have re-financing or any additional offerings in future” for more details.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Permissions and Approvals for business operation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the date of this report, the Company and Helpson have obtained all the required permissions and approvals from PRC authorities and have never been denied any applications. Helpson has never failed to receive or maintain any permissions or approvals, nor were they rejected any such applications. However, the PRC regulatory authorities may in the future promulgate laws, regulations, or implementing rules that require us, or Helpson, to obtain additional permissions or approvals to operate business. Upon that time, we cannot assure we are able to receive such additional permissions and approvals on time. If we do not receive or maintain the approval, or inadvertently conclude that such approval is not required, or applicable laws, regulations, or interpretations change such that we are required to obtain approval in the future, we may be subject to an investigation by competent regulators, fines or penalties, and these risks could result in a material adverse change in our operations and the value of our common stock, significantly limit or completely hinder our ability to offer or continue to offer securities to investors, or cause such securities to significantly decline in value or become worthless.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PRC’s Medical Insurance System</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National Healthcare Security Administration (“NHSA”) issued the Statistical Bulletin on the Development of National Medical Security in 2022 (the “Bulletin”) on July 11, 2023. The Bulletin showed the total income of the national basic medical insurance (including maternity insurance) fund was RMB3.09 trillion in 2022, which represented an increase of 7.6% over the previous year. According to the Bulletin, 1.35 billion people had participated in the national basic medical insurance (hereinafter referred to as the basic medical insurance) by the end of 2022, and the participation rate was stable at more than 95%.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China’s medical insurance system reform has gone through a long process. At present, it has gradually realized a comprehensive and multi-level medical insurance system. After 2018, the establishment of the NHSA opened the prelude to a new stage of reform, and the rules and procedures of the adjustment of the medical insurance catalogue and the national medical insurance negotiation have been gradually improved. After six rounds of adjustment, the NHSA has added a total of 744 drugs to the medical insurance catalog, including 446 newly negotiated ones, covering all 31 treatment areas in the catalog. The monitoring of some sample hospitals by the Chinese Pharmaceutical Association shows that from 2018 to 2022, The proportion of medical insurance drug consumption amount to the total drug consumption amount of sample hospitals increased to 86.7%.</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Medical insurance is the largest medical service purchaser in China. Entering the Medical Insurance Catalogue (the “MIC” or the “Catalogue”) will greatly help speed up the large-scale sales of drugs. The list of the MIC drugs was born in the first edition of the list in 2000, revised for the first time in 2004, adjusted for the second time in 2009, and then remained unchanged for 8 years, significantly affecting the availability of drugs and the efficiency of fund use. The Ministry of Human Resources and Social Security issued the </w:t>
      </w:r>
      <w:r>
        <w:rPr>
          <w:rFonts w:ascii="Times New Roman" w:eastAsia="Times New Roman" w:hAnsi="Times New Roman" w:cs="Times New Roman"/>
          <w:b w:val="0"/>
          <w:bCs w:val="0"/>
          <w:i/>
          <w:iCs/>
          <w:smallCaps w:val="0"/>
          <w:sz w:val="20"/>
          <w:szCs w:val="20"/>
        </w:rPr>
        <w:t>Notice on Publicly Soliciting Opinions and Suggestions on Establishing and Perfecting the Dynamic Adjustment Mechanism of the Drug Catalog of Basic Medical Insurance, Industrial Injury Insurance and Maternity Insurance</w:t>
      </w:r>
      <w:r>
        <w:rPr>
          <w:rFonts w:ascii="Times New Roman" w:eastAsia="Times New Roman" w:hAnsi="Times New Roman" w:cs="Times New Roman"/>
          <w:b w:val="0"/>
          <w:bCs w:val="0"/>
          <w:i w:val="0"/>
          <w:iCs w:val="0"/>
          <w:smallCaps w:val="0"/>
          <w:sz w:val="20"/>
          <w:szCs w:val="20"/>
        </w:rPr>
        <w:t xml:space="preserve"> in April 2017, which gradually established the dynamic adjustment mechanism. Starting from 2020, it is planned to update the MIC every year. The average time interval between obtaining approval and completing the formalities for entering the medical insurance list through negotiation was 6.5 years in 2017, while it was reduced to 1.3 years in 2021.The frequency of products entering the MIC has greatly accelerated. In the face of increasing medical and health demand and increasing medical insurance pressure, how to efficiently use medical insurance funds has become the focus of the adjustment of the Catalogue in recent years.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29, 2023, the NHSA published the “</w:t>
      </w:r>
      <w:r>
        <w:rPr>
          <w:rFonts w:ascii="Times New Roman" w:eastAsia="Times New Roman" w:hAnsi="Times New Roman" w:cs="Times New Roman"/>
          <w:b w:val="0"/>
          <w:bCs w:val="0"/>
          <w:i/>
          <w:iCs/>
          <w:smallCaps w:val="0"/>
          <w:sz w:val="20"/>
          <w:szCs w:val="20"/>
        </w:rPr>
        <w:t>2023 National Basic medical insurance, work-related injury insurance and maternity insurance drug catalogue adjustment work plan”</w:t>
      </w:r>
      <w:r>
        <w:rPr>
          <w:rFonts w:ascii="Times New Roman" w:eastAsia="Times New Roman" w:hAnsi="Times New Roman" w:cs="Times New Roman"/>
          <w:b w:val="0"/>
          <w:bCs w:val="0"/>
          <w:i w:val="0"/>
          <w:iCs w:val="0"/>
          <w:smallCaps w:val="0"/>
          <w:sz w:val="20"/>
          <w:szCs w:val="20"/>
        </w:rPr>
        <w:t>. In this annual catalogue adjustment, a total of 126 drugs have been added to the national medical insurance drug catalogue, and 1 drug has been deleted from the catalogue. 143 off-list drugs were negotiated or bid, of which 121 drugs were successfully negotiated or bid, the negotiation success rate was 84.6%, and the average price reduction was 61.7%, and the condition were basically similar to 2022. After this round of adjustment, the total number of drugs in the national medical insurance drug list reached 3,088, including 1,698 Western medicines and 1,390 Chinese patent medicine, and 892 kinds of TCM prepared in ready-to-use forms.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National medical insurance negotiation: In 2015, China first proposed the general idea of centralized and classified drug procurement, and the drug price negotiation was also started. The negotiation for the pilot procurement led by the National Health and Family Planning Commission was launched at the end of the same year, which also provided practical experience for the subsequent national health insurance negotiation. After the establishment of the NHSA in 2018, the NHSA will formulate and implement the rules of the medical insurance catalog access negotiation. Up to now, seven rounds of national medical insurance negotiations have been completed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2023 Version of The Medical Insurance Catalogue has officially been implemented from January 1, 2024, superimposing negotiated price cuts and medical insurance reimbursement factors, and the adjustment is expected to reduce the burden on patients by more than RMB40 billion in the coming two years.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believe that under the background of national medical insurance cost control, centralized procurement of drugs and medical insurance negotiation should be the new norm.</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Our Strategy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7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believe that the pursuit of innovation is imperative for providing the basic medical solutions needed by the majority of patients. We are passionate about protecting human health, and we always adhere to the highest standards of ethics and integrity to fulfill our firm commitment to our customers and patients.</w:t>
      </w:r>
    </w:p>
    <w:p>
      <w:pPr>
        <w:spacing w:before="0" w:after="0"/>
        <w:ind w:left="0" w:right="0" w:firstLine="77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7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believe we are well-positioned in a comparatively steadily growing industry in one of the fastest-growing economies in the world. With China’s per capita GDP exceeding US$12,700 in 2023, consumption structure upgrade, and the establishment of a high-quality health care system has become one of the most important tasks. We currently manufacture a number of off-patent branded generic drugs. Our diverse portfolio of products and new product pipelines include products for high-incidence and high-mortality conditions in the PRC, such as cardiovascular, central nervous system (“CNS”), infectious, and digestive diseases. We launched several epidemic prevention products such as medical masks, surgical masks, KN95 masks, and N95 masks, and wash-free sanitizers since the outbreak of COVID-19 at year end 2019. In addition, we continue to explore comprehensive healthcare market after the launch of Noni enzymes in 2018. China has entered a post epidemic era with the end of the dynamic zero-COVID policy since December 2022, and the burden of being protected from the COVID and other epidemics has fallen on each individuals, which we believe will boost the sales of Helpson’s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Consistency evaluation of our current existing major products will be the focus of our strategy in the near future. The consistency evaluation of generic drugs will improve Chinese generic drugs quality and eliminate unqualified enterprises, so that high-quality generic drug companies are expected to benefit from it. Consistency evaluation, together with the centralized drug procurement, are optimizing the competitive landscape of the Chinese pharmaceutical industry. We believe that the market space and growth potential for Chinese generic drugs are huge.</w:t>
      </w:r>
    </w:p>
    <w:p>
      <w:pPr>
        <w:spacing w:before="0" w:after="0"/>
        <w:ind w:left="0" w:right="0" w:firstLine="77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 series of medical reform policies introduced in recent years has profound and far-reaching impact on pharmaceutical companies. Therefore, early considerations of the transformation and upgrading, as well as product positioning become very important. Based on more than twenty-year experience in R&amp;D, production and marketing experiences, and our market insights, we have decided to gradually adjust our strategy to produce generic and innovative drugs with high value in pharma-economics, good clinical efficacy and market differentiation. These include drugs that treat chronic diseases prevalent in China, such as geriatric diseases, cancers, and nutritional products.</w:t>
      </w:r>
    </w:p>
    <w:p>
      <w:pPr>
        <w:spacing w:before="0" w:after="0"/>
        <w:ind w:left="0" w:right="0" w:firstLine="77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as another direction of strategic development, we will actively explore digital interactive healthcare solutions on the Internet. After the advent of the Internet era, marketing is no longer a vertical down logical relationship, but a decentralized form of interconnection. We will proactively adjust our business focus and allocate resources to meet market development preferences, provide a more convenient user experience, better standard treatment plans, and bring higher patient satisfaction.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objective is to leverage our expertise in the PRC for the development, manufacture and commercialization of pharmaceutical products. We intend to achieve this objective by:</w:t>
      </w:r>
    </w:p>
    <w:p>
      <w:pPr>
        <w:spacing w:before="0" w:after="0"/>
        <w:ind w:left="0" w:right="0" w:firstLine="77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Promoting Our Existing Brands to Increase Our National Recognition</w:t>
      </w:r>
      <w:r>
        <w:rPr>
          <w:rFonts w:ascii="Times New Roman" w:eastAsia="Times New Roman" w:hAnsi="Times New Roman" w:cs="Times New Roman"/>
          <w:b w:val="0"/>
          <w:bCs w:val="0"/>
          <w:i w:val="0"/>
          <w:iCs w:val="0"/>
          <w:smallCaps w:val="0"/>
          <w:sz w:val="20"/>
          <w:szCs w:val="20"/>
        </w:rPr>
        <w:t>. We intend to support and grow the existing recognition and reputation of our brands and to maintain our branded pricing strategy through continued sales and marketing efforts through our production lines. To achieve this goal, we plan to promote the efficacy and safety profile of our established prescription pharmaceutical products to physicians at hospitals and clinics in all provinces of PRC through the efforts of our sales force, independent distributors and educational physician conferences and seminars.</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Promoting the progress of consistency evaluation of our current existing main products. </w:t>
      </w:r>
      <w:r>
        <w:rPr>
          <w:rFonts w:ascii="Times New Roman" w:eastAsia="Times New Roman" w:hAnsi="Times New Roman" w:cs="Times New Roman"/>
          <w:b w:val="0"/>
          <w:bCs w:val="0"/>
          <w:i w:val="0"/>
          <w:iCs w:val="0"/>
          <w:smallCaps w:val="0"/>
          <w:sz w:val="20"/>
          <w:szCs w:val="20"/>
        </w:rPr>
        <w:t>We intend to cope with the latest policies and the GPO requirements. We aim to make efficient use of our existing human and material resources, and strive to create favorable conditions for product sales and international development through gaining a favorable result in the consistency evaluation.</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Exploring on the consumption healthcare market. </w:t>
      </w:r>
      <w:r>
        <w:rPr>
          <w:rFonts w:ascii="Times New Roman" w:eastAsia="Times New Roman" w:hAnsi="Times New Roman" w:cs="Times New Roman"/>
          <w:b w:val="0"/>
          <w:bCs w:val="0"/>
          <w:i w:val="0"/>
          <w:iCs w:val="0"/>
          <w:smallCaps w:val="0"/>
          <w:sz w:val="20"/>
          <w:szCs w:val="20"/>
        </w:rPr>
        <w:t>Consumption healthcare generally refers to products or services that have certain medical features and can bring health improvement to consumers, but are mainly paid by individuals (less dependent on medical insurance) and have brand effect. We have observed that it has become a high growth field in recent years. It is not limited by medical insurance, and has low penetration rate and high growth. It covers the fields of consumption of traditional Chinese medicine, physical examination, health care, rehabilitation and so on. We will continue to actively explore this niche market.</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Expanding Our Distribution Network to Increase Market Penetration</w:t>
      </w:r>
      <w:r>
        <w:rPr>
          <w:rFonts w:ascii="Times New Roman" w:eastAsia="Times New Roman" w:hAnsi="Times New Roman" w:cs="Times New Roman"/>
          <w:b w:val="0"/>
          <w:bCs w:val="0"/>
          <w:i w:val="0"/>
          <w:iCs w:val="0"/>
          <w:smallCaps w:val="0"/>
          <w:sz w:val="20"/>
          <w:szCs w:val="20"/>
        </w:rPr>
        <w:t>. We intend to expand Helpson’s reach beyond its current 16 offices in the PRC to drive additional growth of the existing and future products. We currently contract with over 1,000 distributors in the PRC and plan to expand on these relationships to target new markets. We will continue our conservative sales strategy of increased cooperation with customers with reliable accounts receivable collection performance. In addition, we plan to continue to broaden our marketing efforts outside of major cities in the PRC and to increase our market penetration in cities and rural areas where we already have a presence. Over the long term, we also intend to expand our presence beyond the PRC to international markets by working with international pharmaceutical companies to cross-sell our products.</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Explore CDMO services. </w:t>
      </w:r>
      <w:r>
        <w:rPr>
          <w:rFonts w:ascii="Times New Roman" w:eastAsia="Times New Roman" w:hAnsi="Times New Roman" w:cs="Times New Roman"/>
          <w:b w:val="0"/>
          <w:bCs w:val="0"/>
          <w:i w:val="0"/>
          <w:iCs w:val="0"/>
          <w:smallCaps w:val="0"/>
          <w:sz w:val="20"/>
          <w:szCs w:val="20"/>
        </w:rPr>
        <w:t xml:space="preserve">Since the State Council of China issued </w:t>
      </w:r>
      <w:r>
        <w:rPr>
          <w:rFonts w:ascii="Times New Roman" w:eastAsia="Times New Roman" w:hAnsi="Times New Roman" w:cs="Times New Roman"/>
          <w:b w:val="0"/>
          <w:bCs w:val="0"/>
          <w:i/>
          <w:iCs/>
          <w:smallCaps w:val="0"/>
          <w:sz w:val="20"/>
          <w:szCs w:val="20"/>
        </w:rPr>
        <w:t>The Pilot Scheme of Drug Marketing License Holder System</w:t>
      </w:r>
      <w:r>
        <w:rPr>
          <w:rFonts w:ascii="Times New Roman" w:eastAsia="Times New Roman" w:hAnsi="Times New Roman" w:cs="Times New Roman"/>
          <w:b w:val="0"/>
          <w:bCs w:val="0"/>
          <w:i w:val="0"/>
          <w:iCs w:val="0"/>
          <w:smallCaps w:val="0"/>
          <w:sz w:val="20"/>
          <w:szCs w:val="20"/>
        </w:rPr>
        <w:t xml:space="preserve"> in 2016, Helpson has been actively exploring the CDMO market, especially in the field of high-end manufacturing. Helpson will focus on developing CDMO of pharmaceutical preparations required in the whole life cycle from preclinical, clinical trials, scale-up manufacturing to drug marketing and make full use of its more than two decades of whole process experience in China’s pharmaceutical industry to engage in pharmaceutical formula research, development, NMPA production application, industrialization and commercialization. Helpson strives to achieve internal and external coordination and complement each other’s resources and advantages.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Acquiring Complementary Products Lines, Technologies, Distribution Networks and Companies</w:t>
      </w:r>
      <w:r>
        <w:rPr>
          <w:rFonts w:ascii="Times New Roman" w:eastAsia="Times New Roman" w:hAnsi="Times New Roman" w:cs="Times New Roman"/>
          <w:b w:val="0"/>
          <w:bCs w:val="0"/>
          <w:i w:val="0"/>
          <w:iCs w:val="0"/>
          <w:smallCaps w:val="0"/>
          <w:sz w:val="20"/>
          <w:szCs w:val="20"/>
        </w:rPr>
        <w:t>. We intend to selectively pursue strategic acquisition opportunities that we believe will grow our customer base, expand our product lines and distribution network, enhance our manufacturing and technical expertise or otherwise complement our business or further our strategic goals. Pursuing strategic acquisitions is a significant component of our growth strategy. The Company has not identified any strategic acquisition opportunities as of the date of this report on Form 10-K.</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Products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currently has a product portfolio of 22 products, including 19 pharmaceutical products that address a wide variety of diseases and medical indications, and the remaining are comprehensive healthcare and protective products. All of its pharmaceutical products have demonstrated safety and efficacy in clinical trials sufficient to obtain approval by the NMPA and are sold on a prescription basis. The following table summarizes the approved indications for our marketed products and the year in which each of such products was first marketed to our customers.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229"/>
        <w:gridCol w:w="92"/>
        <w:gridCol w:w="4877"/>
        <w:gridCol w:w="92"/>
        <w:gridCol w:w="1065"/>
      </w:tblGrid>
      <w:tr>
        <w:tblPrEx>
          <w:tblW w:w="5000" w:type="pct"/>
          <w:tblInd w:w="5" w:type="dxa"/>
          <w:tblCellMar>
            <w:top w:w="0" w:type="dxa"/>
            <w:left w:w="0" w:type="dxa"/>
            <w:bottom w:w="0" w:type="dxa"/>
            <w:right w:w="0" w:type="dxa"/>
          </w:tblCellMar>
        </w:tblPrEx>
        <w:tc>
          <w:tcPr>
            <w:tcW w:w="17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650" w:type="pct"/>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 of</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Commercial</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center"/>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Indication</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Launch</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Central Nervous System (CNS) and Cerebral-Cardiovascular Diseases</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Cerebroprotein Hydroloysate Injection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Memory decline and attention deficit disorder caused by the sequela of craniocerebral trauma and cerebrovascular diseases.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Gastrodin Injection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Tiredness, loss of concentration, poor sleep, and traumatic syndromes of the brain, including vertigo, neuralgia and headaches.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Propylgallate for Injection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Cerebral thrombosis, coronary heart disease and complications after surgery such as thrombus deep phlebitis.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2006</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Ozagrel Sodium for Injection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Acute thrombotic cerebral infarction and dyskinesia associated with cerebral infarction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2006</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Alginic Sodium Diester Injection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Ischemic heart disease, cerebrovascular diseases (cerebral thrombosis, cerebral embolism and coronary heart disease) and high lipoprotein blood disease.</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2006</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Bumetanide for Injection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Various edema diseases (including those associated with heart failure, hepatic cirrhosis, nephropathy, and pulmonary edema), hypertension, acute renal failure, hyperkalemia, hypercalcemia and for the rescue from acute drug poisoning.</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2007</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Candesartan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Hypertension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2013</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274"/>
        <w:gridCol w:w="94"/>
        <w:gridCol w:w="4958"/>
        <w:gridCol w:w="94"/>
        <w:gridCol w:w="936"/>
      </w:tblGrid>
      <w:tr>
        <w:tblPrEx>
          <w:tblW w:w="5000" w:type="pct"/>
          <w:tblInd w:w="5" w:type="dxa"/>
          <w:tblCellMar>
            <w:top w:w="0" w:type="dxa"/>
            <w:left w:w="0" w:type="dxa"/>
            <w:bottom w:w="0" w:type="dxa"/>
            <w:right w:w="0" w:type="dxa"/>
          </w:tblCellMar>
        </w:tblPrEx>
        <w:tc>
          <w:tcPr>
            <w:tcW w:w="17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Anti-infection and Respiratory Diseases</w:t>
            </w:r>
          </w:p>
        </w:tc>
        <w:tc>
          <w:tcPr>
            <w:tcW w:w="50" w:type="pct"/>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650" w:type="pct"/>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0" w:type="pct"/>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Roxithromycin Dispersible Tablets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Pharyngitis and tonsillitis caused by Streptococcus pyogenes; sinusitis, tympanitis, acute and chronic bronchitis caused by acute bacterial infection, Mycoplasma pneumonia and Chlamydia pneumoniae; urethritis and cervical infection caused by chlamydia trachomatis; skin soft tissue infection caused by sensitive bacteria.</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Cefaclor Dispersible Tablets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Tympanitis, lower respiratory tract infection, urinary tract infections and skin/skin tissue infection.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2002</w:t>
            </w:r>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190"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Cefalexin Capsules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Acute tonsillitis caused by sensitive fungi, airway infections, such as pharyngitis, otitis media, nasal sinusitis and bronchitis; pneumonia, respiratory tract infection, urinary tract infections and skin soft tissue infections.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2002</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Andrographolide</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Detoxification, antibacterial and anti-inflammatory. For sore throat caused by upper respiratory tract infection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2003</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Clarithromycin Granules and Capsules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Nasopharynx infection, lower respiratory tract infection, skin tissue infection, acute tympanitis and mycoplasma pneumonia caused by clarithromycin susceptible organisms; urethritis and cervical infection caused by chlamydia trachomatis; and the treatment of legionella infection, mycobacterium avium complex (MAC) infection and helicobacter pylori infection.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2004</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Naproxen Sodium and PseudophedrineHydrochlorida Sustained Release Tablet</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Relieves cold, sinus and flu symptoms, blocked nose caused by anaphylaxis rhinitis, runny nose, fever, sore throat, symptoms of myalgia in the limbs and pain around the joints.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2005</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274"/>
        <w:gridCol w:w="94"/>
        <w:gridCol w:w="4958"/>
        <w:gridCol w:w="94"/>
        <w:gridCol w:w="936"/>
      </w:tblGrid>
      <w:tr>
        <w:tblPrEx>
          <w:tblW w:w="5000" w:type="pct"/>
          <w:tblInd w:w="5" w:type="dxa"/>
          <w:tblCellMar>
            <w:top w:w="0" w:type="dxa"/>
            <w:left w:w="0" w:type="dxa"/>
            <w:bottom w:w="0" w:type="dxa"/>
            <w:right w:w="0" w:type="dxa"/>
          </w:tblCellMar>
        </w:tblPrEx>
        <w:tc>
          <w:tcPr>
            <w:tcW w:w="17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Digestive Diseases</w:t>
            </w:r>
          </w:p>
        </w:tc>
        <w:tc>
          <w:tcPr>
            <w:tcW w:w="50" w:type="pct"/>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650" w:type="pct"/>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0" w:type="pct"/>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Hepatocyte Growth-promoting Factor for Injection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Serious viral hepatitis symptoms caused by various viral hepatitis types (acute, subnormal temperature, chronic serious disease early or middle period of hepatitis).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Tiopronin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Acute and chronic Hepatitis B, and for the relief of drug-induced liver injury.</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2009</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Compound Ammonium Glycyrrhetate S for Injection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Liver dysfunction caused by acute and chronic hepatitis; supplemental treatment to toxic/trauma hepatitis, liver cancer; also for the indication of food/drug poisoning, and drug allergy.</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2009</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Omeparzole</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Gastroesophageal reflux disease, and other conditions caused by excess acidic formulations in the stomach, including gastric ulcers, recurrent duodenal ulcers and Zollinger-Ellison Syndrome.</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2009</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Vitamin B6 for Injection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Vitamin supplement.</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Granisetron Hydrochloride Injection</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Nausea and vomiting caused by radiotherapy and chemotherapy during the treatment of malignant tumors.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2006</w:t>
            </w:r>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190"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 Healthcare and Protective Products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Noni Enzyme</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natural, healthy and nutritionrich</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a natural, healthy and nutrition-rich food supplement</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2018</w:t>
            </w:r>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190"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Sanitizer</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90" w:type="dxa"/>
              <w:bottom w:w="5" w:type="dxa"/>
              <w:right w:w="5" w:type="dxa"/>
            </w:tcMar>
            <w:vAlign w:val="center"/>
            <w:hideMark/>
          </w:tcPr>
          <w:p>
            <w:pPr>
              <w:ind w:hanging="18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 alcohol wash-free sanitizer</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2020</w:t>
            </w:r>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190"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Masks</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KN95 Particulate Respirator, Disposable Medical Mask, Particle Filtering Mask, N95 Medical Protective Mask</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2020 to 2023</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 forth below are our revenues by product category in millions (USD) for the years ended December 31, 2023 and 2022:</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801"/>
        <w:gridCol w:w="92"/>
        <w:gridCol w:w="93"/>
        <w:gridCol w:w="834"/>
        <w:gridCol w:w="93"/>
        <w:gridCol w:w="92"/>
        <w:gridCol w:w="93"/>
        <w:gridCol w:w="834"/>
        <w:gridCol w:w="92"/>
        <w:gridCol w:w="92"/>
        <w:gridCol w:w="93"/>
        <w:gridCol w:w="838"/>
        <w:gridCol w:w="92"/>
        <w:gridCol w:w="92"/>
        <w:gridCol w:w="108"/>
        <w:gridCol w:w="837"/>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Twelve Months Ended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4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0.41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0.73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Due to the nature of the pharmaceutical industry, Helpson continually strives to change our product portfolio to respond to changes in market demand. Based on a foundation established by a number of our widely-recognized prescription products, such as Cefaclor and Roxithromycin, Helpson has launched and will continue to launch a variety of pharmaceuticals. The core criteria for Helpson’s selection of potential pipeline products is strong market demand, proven efficacy, and safety. In an effort to gain an advantage in the marketplace, Helpson often seeks to improve the production process of the new generic products Helpson elects to manufacture or to improve the quality of a proposed product to increase its efficacy.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also adjusts the delivery systems and marketing for each of our products based on the product’s target patient group. We believe that maintaining a variety of delivery systems (e.g. tablets, capsules, injectables and dry powders) for certain of its products targeted at different groups enhances its competitive position in the marketplace. As a result, its sales and marketing personnel work closely with management and the research and development personnel to determine which of the products can successfully be marketed for more than one delivery system and which generic drugs in the marketplace may be good candidates to manufacture and distribute using different delivery systems.</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Product Development</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Research &amp; development and innovation represent the core competitive advantage for a company’s sustainable growth. For pharmaceutical companies, products with proprietary intellectual property are not only strategic resources for comprehensive strength, but also important tools to engage in social responsibility. Helpson has been focusing on the research and development of both first generic drugs and innovative drugs. Additionally, Helpson also has actively worked to meet unfulfilled medical needs by sticking to a market-oriented approach and continuously improving the effectiveness and ease of use of our drugs, which are supported by our well-designed system for intellectual property management.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PRC State Council issued “</w:t>
      </w:r>
      <w:r>
        <w:rPr>
          <w:rFonts w:ascii="Times New Roman" w:eastAsia="Times New Roman" w:hAnsi="Times New Roman" w:cs="Times New Roman"/>
          <w:b w:val="0"/>
          <w:bCs w:val="0"/>
          <w:i/>
          <w:iCs/>
          <w:smallCaps w:val="0"/>
          <w:sz w:val="20"/>
          <w:szCs w:val="20"/>
        </w:rPr>
        <w:t>Opinions on Carrying out Consistency Evaluation on Quality and Efficacy of Generic Drugs</w:t>
      </w:r>
      <w:r>
        <w:rPr>
          <w:rFonts w:ascii="Times New Roman" w:eastAsia="Times New Roman" w:hAnsi="Times New Roman" w:cs="Times New Roman"/>
          <w:b w:val="0"/>
          <w:bCs w:val="0"/>
          <w:i w:val="0"/>
          <w:iCs w:val="0"/>
          <w:smallCaps w:val="0"/>
          <w:sz w:val="20"/>
          <w:szCs w:val="20"/>
        </w:rPr>
        <w:t>” on March 5, 2016, requiring all manufacturers of generic chemical pipeline products to carry out Consistency Evaluations before they may obtain final registration approval. Drugs failing to meet these requirements may not be re-registered.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Currently, due to this newly issued NMPA production approved standards and experimental requirements, as with all other Chinese generic pharmaceutical companies, almost all of Helpson’s pipeline products have undergone major adjustments.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Helpson’s recent research and development work is mainly aimed at promoting the consistency evaluation of several major products already on the market, as well as the continued exploration of comprehensive health product categories.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has recently acquired formulas for dry eye syndrome, chronic obstructive pulmonary disease, and a pharmaceutical composition for treatment of psoriasis, etc. It is expected to launch those products as soon as the registration process is completed.. In addition, Helpson has launched N95 Medical Protective masks in early 2023. Since China ended its zero-case policy and no longer requires shutdown or quarantine in December 2022, the market demand for prevention materials, such as masks has surged.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Distribution and Customers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has a well-established sales network. As its current pharmaceutical product portfolio is comprised mainly of prescription drugs, its major sales targets are hospitals. As of December 31, 2023, we have 16 sales offices covering all major provinces of China, and over 1,000 sales representatives who assist in managing the delivery of pharmaceutical products, and our promotion and service with hospitals, doctors and local drug distributors.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Due to the nature of Helpson’s products and current governmental regulations, all of its customers are located in the PRC. Helpson has established long-standing relationships with key customers.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Production Facilities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through Helpson, manufacture and package our products at our manufacturing facility in the Haikou Free Trade Zone in Haikou, Hainan Province. The old manufacturing facility, which was built in 2002, is approximately 8,000 square meters (approximately 12.4 million square feet); and the new building, approximately 20,000 square meters (approximately 31 million square feet), was completed in 2013. Helpson has production lines conforming with the 2011 version of GMP certificates for different forms of its products including: tablets, capsules, dry power, liquid injectables, solid oral solution Cephalosporins (specifically designated); other than that, it also has production lines for health care products and various types of masks that meet national standards.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All of the existing production lines have met the GMP Standards which became effective as of March 1, 2011. On December 1, 2019, the newly revised Drug Administration Law (the “New Law”) came into effect, which cancelled the GMP certification but impose the pilot inspection mechanism.</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Raw Materials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requires a supply of a wide variety of raw materials to manufacture its products. Helpson employs purchasing staff with extensive knowledge of its products who work with the product development, and formulations and quality control personnel to source raw materials for the products. Currently, Helpson relies on numerous suppliers in the PRC and overseas to deliver the required raw materials and believe it has at least three principal suppliers for each of our most critical raw materials. Historically, Helpson has not had difficulty obtaining raw materials from suppliers. For the year ended December 31, 2023, the purchases of raw material purchases from its three top suppliers accounted for 17.7%, 13.8%, and 8.9%, respectively. For the year ended December 31, 2022 suppliers accounted for 21.7%, 9.1%, and 8.9%, respectively.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Competition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believe we have established a commercially competitive position in the highly-fragmented pharmaceutical industry in China through our core competitive advantages, as described below:</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Helpson has a highly-efficient commercialization process for new products, including significant experience with the NMPA registration process.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has over 20 years of product-development experience during which time it has implemented processes to efficiently introduce and market new and existing products to the Chinese market.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Helpson has a market-oriented product portfolio and product lines.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Helpson’s product focuses on developing and manufacturing medicines that help large patient groups, such as the infectious disease and cardio vascular disease patient groups. Its diversified GMP-certified manufacturing facility includes various production lines targeting a variety of delivery mechanisms, such as tablets, capsules, cephalosprine tablets, cephalosprine capsules, liquid-injectables and dry powder injectables, which enables it to effectively manufacture a broad range of new drugs; other than that, it also has production lines for health care products and various types of masks that meet national standards.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We have product diversification to target specific sub-markets.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attempt to differentiate our products from those of our competitors by changing, and, in many cases, improving certain physical aspects of our products to market under different market segments. For example, to make our Cefaclor product more patient friendly to children and patients with swallowing problems, we added an enteric coating to make our tablets easier to swallow.</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Helpson has a national sales network and a highly-trained marketing team.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Helpson’s experienced sales team has industry knowledge and know-how to synergistically combine its strong market insight with successful commercialization platforms.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Helpson has developed high-quality relationships with leading hospital and clinic administrators and physicians.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While sales of the pharmaceutical products to hospitals are made through the distributors, Helpson believes it has established long-term cooperation relationships with leading hospitals and healthcare clinics throughout China resulting from its long-term promotional efforts and periodic physician seminars, so that to improve the perception of the products in the marketplace and help identify and select high-volume drugs to develop into new generic products relatively early in the process.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Notwithstanding such favorable positioning, Helpson is subject to intense competition. There are both local and overseas pharmaceutical enterprises that are engaged in the manufacture and sale of potential substitute or similar pharmaceutical products in the PRC. These competitors may have more capital, better research and development resources, better manufacturing and marketing capability, and more experience than we do.</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profitability may be adversely affected if:</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30"/>
        <w:gridCol w:w="370"/>
        <w:gridCol w:w="8255"/>
      </w:tblGrid>
      <w:tr>
        <w:tblPrEx>
          <w:tblW w:w="5000" w:type="pct"/>
          <w:tblInd w:w="5" w:type="dxa"/>
          <w:tblCellMar>
            <w:top w:w="0" w:type="dxa"/>
            <w:left w:w="0" w:type="dxa"/>
            <w:bottom w:w="0" w:type="dxa"/>
            <w:right w:w="0" w:type="dxa"/>
          </w:tblCellMar>
        </w:tblPrEx>
        <w:tc>
          <w:tcPr>
            <w:tcW w:w="72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number of our competitors increases;</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competitors engage in increased price competition; or</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competitors develop new products or product substitutes having comparable medicinal applications or therapeutic effects that are more effective, less costly and/or have more perceived benefits than those produced by us.</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imported products and China’s admission as a member of the World Trade Organization (“WTO”) creates increased competition. The PRC became a member of the WTO in December 2001. As a result, competition in the pharmaceutical industry in the PRC intensified generally in two respects. First, with lower import tariffs, imported pharmaceutical products manufactured overseas may become increasingly competitive in terms of pricing. Second, we believe that well-established foreign pharmaceutical manufacturers may set up production facilities in the PRC and compete with domestic manufacturers directly. With the expected increased supply of competitively-priced pharmaceutical products in the PRC, we may face increased competition from foreign pharmaceutical products, especially in terms of high-end pharmaceutical products, including certain types of products manufactured by U.S. manufacturers.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Intellectual Property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regard our packaging designs, trademarks, trade secrets, patent and similar intellectual property as parts of our core competence that are critical to our success. We rely on patent, trademark and trade secret law, as well as confidentiality agreements with certain of our employees, distributors and others to protect our intellectual property rights.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November 2008, Helpson purchased the patented medical formula and the manufacturing processes for a cerebral/cardio-vascular indication from a third party laboratory. In connection with that acquisition, we obtained the title of the patent. This patent expires in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2012, Helpson acquired another patent related to a medical formula for the treatment of cerebral/cardio-vascular diseases. This patent expires in 2029.</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2022, Helpson, our wholly owned subsidiary, acquired a utility model patent and an invention patent application regarding the creation of an ophthalmic oxygen enriched atomization therapeutic apparatus from Chengdu Bonier Medical Technology Development Co., Ltd. (“Bonier”). Based on the technology transfer agreement, Helpson will receive the utility model patent right of the technical invention and the patent application right of the invention, and Bonier will provide relevant technical services.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2023, Helpson owns 15 registered trademarks, including marks for eight of the 19 pharmaceutical products Helpson manufactures, including the tradenamesFukexing, Beisha, Shiduotai, Xinuo, Pusenlitai, Pusenouke, Shuchang, Shenkaineng, XERONINE, and Aronino, as well as marks for the HPS logo, two HELPSON logos and two other logos.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Environmental Matters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complies with the Environmental Protection Law of China as well as applicable local regulations. In addition to statutory and regulatory compliance, Helpson actively ensures the environmental sustainability of the operations. Penalties may be levied upon it if we fail to adhere to and maintain certain standards. Such failure has not occurred in the past, and Helpson does not anticipate that it will occur in the future, but no assurance can be given in this regard.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Regulations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Regulations Relating to Pharmaceutical Manufacture Industry</w:t>
      </w:r>
      <w:r>
        <w:rPr>
          <w:rFonts w:ascii="Times New Roman" w:eastAsia="Times New Roman" w:hAnsi="Times New Roman" w:cs="Times New Roman"/>
          <w:b w:val="0"/>
          <w:bCs w:val="0"/>
          <w:i w:val="0"/>
          <w:iCs w:val="0"/>
          <w:smallCaps w:val="0"/>
          <w:sz w:val="20"/>
          <w:szCs w:val="20"/>
        </w:rPr>
        <w:t>. The pharmaceutical manufacture industry in China is highly regulated. The primary regulatory authority is the NMPA, including its provincial and local branches. As a developer and producer of medicinal products, Helpson is subject to regulation and oversight by the NMPA and its provincial and local branches. The Medicinal Product Administration Law of the People’s Republic of China provides the basic legal framework for the administration of the production and sale of pharmaceuticals in China and covers the manufacturing, distribution, packaging, pricing and advertising of pharmaceutical products. These regulations set forth detailed rules with respect to the administration of pharmaceuticals in China. We are also subject to other PRC laws and regulations that are applicable to business operators, manufacturers and distributors in general.</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Registration and Approval of Medicine</w:t>
      </w:r>
      <w:r>
        <w:rPr>
          <w:rFonts w:ascii="Times New Roman" w:eastAsia="Times New Roman" w:hAnsi="Times New Roman" w:cs="Times New Roman"/>
          <w:b w:val="0"/>
          <w:bCs w:val="0"/>
          <w:i w:val="0"/>
          <w:iCs w:val="0"/>
          <w:smallCaps w:val="0"/>
          <w:sz w:val="20"/>
          <w:szCs w:val="20"/>
        </w:rPr>
        <w:t>. Pursuant to the PRC Provisions for Drug Registration, a medicine must be registered and approved by the NMPA before it can be manufactured and sold. The registration and approval process requires the manufacturer to submit to the NMPA a registration application containing detailed information concerning the efficacy and quality of the medicine and the manufacturing process and the production facilities the manufacturer expects to use. A series of policies on consistency evaluation and drug review process have been issued in recent years, and potentially more reforms and adjustments are underway in order to promote the pharmaceutical industry in China in line with the international standards. In this context, we believe that the uncertainties in the timetables for obtaining NMPA production approvals for products under research are increasing. If a manufacturer chooses to manufacture a pre-clinical medicine, it is also required to conduct pre-clinical trials, apply to the NMPA for permission to conduct clinical trials and go through the clinical trials. If a manufacturer chooses to manufacture a post-clinical medicine, it only needs to go through the clinical trials. In both cases, a manufacturer needs to file clinical data with the NMPA for approval to manufacture after clinical trials are completed.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New Medicine</w:t>
      </w:r>
      <w:r>
        <w:rPr>
          <w:rFonts w:ascii="Times New Roman" w:eastAsia="Times New Roman" w:hAnsi="Times New Roman" w:cs="Times New Roman"/>
          <w:b w:val="0"/>
          <w:bCs w:val="0"/>
          <w:i w:val="0"/>
          <w:iCs w:val="0"/>
          <w:smallCaps w:val="0"/>
          <w:sz w:val="20"/>
          <w:szCs w:val="20"/>
        </w:rPr>
        <w:t>. If a new medicine is approved by the NMPA, the NMPA will issue a new medicine certificate to the manufacturer and impose a monitoring period from one to five years. During the monitoring period, the NMPA will monitor the safety of the new medicine, and will neither accept new medicine certificate applications for an identical medicine by another pharmaceutical company, nor approve the production or import of an identical medicine by other pharmaceutical companies. As a result of these regulations, the holder of a new medicine certificate has the exclusive right to manufacture it during the monitoring period. We currently have the new medicine certificates for our Pusenouke, Cefaclor dispersible tablets and Roxithromycin dispersible tablets and Bumetanide for injection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National Production Standard and Provisional Standard</w:t>
      </w:r>
      <w:r>
        <w:rPr>
          <w:rFonts w:ascii="Times New Roman" w:eastAsia="Times New Roman" w:hAnsi="Times New Roman" w:cs="Times New Roman"/>
          <w:b w:val="0"/>
          <w:bCs w:val="0"/>
          <w:i w:val="0"/>
          <w:iCs w:val="0"/>
          <w:smallCaps w:val="0"/>
          <w:sz w:val="20"/>
          <w:szCs w:val="20"/>
        </w:rPr>
        <w:t>. In connection with the NMPA’s approval of a new medicine, the NMPA will normally direct the manufacturer to produce the medicine according to a provisional national production standard, or a provisional standard. A provisional standard is valid for two years, during which time the NMPA closely monitors the production process and quality consistency of the medicine to develop a national final production standard for the medicine, or a final standard. Three months before the expiration of the two-year period, the manufacturer is required to apply to the NMPA to convert the provisional standard to a final standard. Upon approval, the NMPA will publish the final standard for production. The NMPA has no statutory timeline to complete its review and grant approval for the conversion. In practice, the approval for conversion to a final standard is time-consuming and could take a number of years. However, during the NMPA’s review period, the manufacturer may continue to produce the medicine according to the provisional standard.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Transitional Period</w:t>
      </w:r>
      <w:r>
        <w:rPr>
          <w:rFonts w:ascii="Times New Roman" w:eastAsia="Times New Roman" w:hAnsi="Times New Roman" w:cs="Times New Roman"/>
          <w:b w:val="0"/>
          <w:bCs w:val="0"/>
          <w:i w:val="0"/>
          <w:iCs w:val="0"/>
          <w:smallCaps w:val="0"/>
          <w:sz w:val="20"/>
          <w:szCs w:val="20"/>
        </w:rPr>
        <w:t>. Prior to the latter of (1) the expiration of a new medicine’s monitoring period or (2) the date when the NMPA grants a final standard for a new medicine after the expiration of the provisional standard, the NMPA will not accept applications for an identical medicine nor will it approve the production of an identical medicine by other pharmaceutical companies. Accordingly, the manufacturer will continue to have an exclusive production right for the new medicine during this transitional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Continuing NMPA Regulation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Pharmaceutical manufacturers in China are subject to continuing regulation by the NMPA. If the labeling or its manufacturing process of an approved medicine is significantly modified, a new pre-market approval or pre-market approval supplement will be required by the NMPA. A pharmaceutical manufacturer is subject to periodic inspection and safety monitoring by the NMPA to determine compliance with regulatory requirements.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NMPA has a variety of enforcement actions available to enforce its regulations and rules, including fines and injunctions, recall or seizure of products, imposition of operating restrictions, partial suspension or complete shutdown of production and criminal prosecution.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Pharmaceutical Product Manufacturing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Permits and Licenses for Pharmaceutical Manufacturers.</w:t>
      </w:r>
      <w:r>
        <w:rPr>
          <w:rFonts w:ascii="Times New Roman" w:eastAsia="Times New Roman" w:hAnsi="Times New Roman" w:cs="Times New Roman"/>
          <w:b w:val="0"/>
          <w:bCs w:val="0"/>
          <w:i w:val="0"/>
          <w:iCs w:val="0"/>
          <w:smallCaps w:val="0"/>
          <w:sz w:val="20"/>
          <w:szCs w:val="20"/>
        </w:rPr>
        <w:t xml:space="preserve"> A pharmaceutical manufacturer must obtain a pharmaceutical manufacturing permit from the NMPA’s relevant provincial branch. This permit is valid for five years and is renewable for an additional five-year period upon its expiration. Our current pharmaceutical manufacturing permit, issued by the NMPA, will expire on November 8, 2025. We are confident the permit could be renewed before its expiration.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Good Manufacturing Practice.</w:t>
      </w:r>
      <w:r>
        <w:rPr>
          <w:rFonts w:ascii="Times New Roman" w:eastAsia="Times New Roman" w:hAnsi="Times New Roman" w:cs="Times New Roman"/>
          <w:b w:val="0"/>
          <w:bCs w:val="0"/>
          <w:i w:val="0"/>
          <w:iCs w:val="0"/>
          <w:smallCaps w:val="0"/>
          <w:sz w:val="20"/>
          <w:szCs w:val="20"/>
        </w:rPr>
        <w:t xml:space="preserve"> A pharmaceutical manufacturer must meet the Good Manufacturing Practice standards, or GMP standards, for each of its production facilities in China in respect of each form of pharmaceutical product it produces. GMP standards include staff qualifications, production premises and facilities, equipment, raw materials, environmental hygiene, production management, quality control and customer complaint administration. Prior to December 1, 2019, if a manufacturer meets the GMP standards, the NMPA will issue to the manufacturer a Good Manufacturing Practice certificate, or a GMP certificate, with a five-year validity period. However, for a newly-established pharmaceutical manufacturer that meets the GMP standards, the NMPA will issue a GMP certificate with only a one-year validity period. The Year 2011 GMP Standards became effective on March 1, 2011, and pharmaceutical manufacturers (except for manufacturers of injectables, blood products or vaccines, which had a three-year grace period) had a five-year grace period to upgrade existing facilities to comply with the revisions.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All of Helpson’s existing production lines have met the Year 2011 GMP Standards. On December 1, 2019, the newly revised Drug Administration Law (the “New Law”) came into effect. One of the major amendments is the cancellation of GMP certification. The New Law eliminated the requirement that drug administration authorities shall assess drug manufacture enterprises and drug trading enterprises, and issue assessment certificates. Instead, it requires that drug manufacturing enterprises and drug trading enterprises establish and improve the quality management systems of manufacture and trade of drugs, and ensure that the process of manufacturing and trading of drugs always meets all legal requirements. This means a stricter form of supervision is implemented comparing to the prior GMP certificates system. Helpson’s production lines are subject pilot inspection under the New Law.</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believe that GMP inspection only switches to another form, which includes flight inspection, drug production license inspection (for on-site management and quality system), as well as product inspection.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Product Liability and Consumers Protection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Product liability claims may arise if any of our pharmaceutical products have a harmful effect on a consumer, who may make a claim for damages or compensation as an injured party. The General Principles of the Civil Law of the PRC, which became effective in January 1987, stated that manufacturers and sellers of defective products causing property damage or injury shall incur civil liabilities for such damage or injuries. The Civil Code of the PRC, which came into force on January 1, 2021, stipulates that if damage is caused to others due to defects in products, the infringed can claim compensation from the manufacturer of the products or the seller of the products. If the defect is caused by the producer, the seller shall have the right to recover compensation from the producer. If the product is defective due to the fault of the seller, the producer shall have the right to recover from the seller after making compensation.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Product Quality Law of the PRC was enacted in 1993 and amended in 2000 to strengthen the quality control of products and protect consumers’ rights and interests. Under this law, manufacturers and distributors who produce or sell defective products may be subject to confiscation of earnings from such sales, revocation of business licenses and imposition of fines, and in severe circumstances, may be subject to criminal liability.</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Law of the PRC on the Protection of the Rights and Interests of Consumers was promulgated on October 31, 1993 and became effective on January 1, 1994 to protect consumers when they purchase or use goods or services. All business operators must comply with this law when they manufacture or sell goods and/or provide services to customers. In extreme situations, pharmaceutical product manufacturers and distributors may be subject to criminal liability if their goods or services lead to the death or injuries of customers or other third parties.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Other Regulations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to the regulations relating to pharmaceutical industry in China, Helpson is subject to the regulations applicable to a foreign invested enterprise in China.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Foreign Currency Exchange. </w:t>
      </w:r>
      <w:r>
        <w:rPr>
          <w:rFonts w:ascii="Times New Roman" w:eastAsia="Times New Roman" w:hAnsi="Times New Roman" w:cs="Times New Roman"/>
          <w:b w:val="0"/>
          <w:bCs w:val="0"/>
          <w:i w:val="0"/>
          <w:iCs w:val="0"/>
          <w:smallCaps w:val="0"/>
          <w:sz w:val="20"/>
          <w:szCs w:val="20"/>
        </w:rPr>
        <w:t>Pursuant to the Foreign Currency Administration Rules promulgated in 1996 and amended in 1997 and various regulations issued by the State Administration of Foreign Exchange, or the SAFE, and other relevant PRC government authorities, Renminbi is freely convertible only to the extent of current account items, such as trade-related receipts and payments, interests and dividends. Capital account items, such as direct equity investments, loans and repatriation of investment, require the prior approval from the SAFE or its local counterpart for conversion of Renminbi into a foreign currency, such as U.S. dollars, and remittance of the foreign currency outside the PRC.</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Payments for transactions that take place within the PRC must be made in Renminbi. Unless otherwise approved, PRC companies other than foreign investment enterprises (FIEs) must convert foreign currency payments they receive from abroad into Renminbi. On the other hand, FIEs may retain foreign currency in accounts with designated foreign exchange banks, subject to a cap set by the SAFE or its local counterpart.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Dividend Distribution. </w:t>
      </w:r>
      <w:r>
        <w:rPr>
          <w:rFonts w:ascii="Times New Roman" w:eastAsia="Times New Roman" w:hAnsi="Times New Roman" w:cs="Times New Roman"/>
          <w:b w:val="0"/>
          <w:bCs w:val="0"/>
          <w:i w:val="0"/>
          <w:iCs w:val="0"/>
          <w:smallCaps w:val="0"/>
          <w:sz w:val="20"/>
          <w:szCs w:val="20"/>
        </w:rPr>
        <w:t>Under the PRC regulations governing dividend distributions by wholly foreign-owned enterprises and Sino-foreign equity joint ventures, wholly foreign-owned enterprises and Sino-foreign equity joint ventures in the PRC may pay dividends only out of their accumulated profits, if any, determined in accordance with PRC accounting standards and regulations. Additionally, these foreign-invested enterprises are required to set aside certain amounts of their accumulated profits each year, if any, to fund certain reserve funds. These reserves are not distributable as cash dividends.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PCAOB Regulations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As auditors of companies that are traded publicly in the United States and a firm registered with the PCAOB, our auditor is required by the laws of the United States to undergo regular inspections by the PCAOB. We are required by the Holding Foreign Companies Accountable Act (“HFCAA”) to have an auditor that is subject to the inspection by the PCAOB. </w:t>
      </w:r>
      <w:r>
        <w:rPr>
          <w:rFonts w:ascii="Times New Roman" w:eastAsia="Times New Roman" w:hAnsi="Times New Roman" w:cs="Times New Roman"/>
          <w:b w:val="0"/>
          <w:bCs w:val="0"/>
          <w:i w:val="0"/>
          <w:iCs w:val="0"/>
          <w:smallCaps w:val="0"/>
          <w:sz w:val="20"/>
          <w:szCs w:val="20"/>
        </w:rPr>
        <w:t>On June 22, 2021, the U.S. Senate passed the Accelerating Holding Foreign Companies Accountable Act, or AHFCAA, which proposes to reduce the period of time for foreign companies to comply with PCAOB audits from three to two consecutive years, thus reducing the time period before the securities of such foreign companies may be prohibited from trading or delisted. On December 29, 2022, the Consolidated Appropriations Act, 2023 (the “CAA”), which the AHFCAA forms a part, was signed into law, and it officially reduced the number of consecutive non-inspection years required for triggering the prohibitions under the HFCAA from three years to two, thus, would reduce the time before an applicable issuer’s securities may be prohibited from trading or delisted.</w:t>
      </w:r>
      <w:r>
        <w:rPr>
          <w:rFonts w:ascii="Times New Roman" w:eastAsia="Times New Roman" w:hAnsi="Times New Roman" w:cs="Times New Roman"/>
          <w:b w:val="0"/>
          <w:bCs w:val="0"/>
          <w:i w:val="0"/>
          <w:iCs w:val="0"/>
          <w:smallCaps w:val="0"/>
          <w:sz w:val="20"/>
          <w:szCs w:val="20"/>
        </w:rPr>
        <w:t xml:space="preserve"> On December 16, 2021, the PCAOB issued a report to notify the SEC its determinations that it is unable to inspect or investigate completely registered public accounting firms headquartered in China and Hong Kong, respectively, and identifies the registered public accounting firms in China and Hong Kong that are subject to such determinations. Our auditor, B F Borgers CPA PC, is headquartered in Denver, Colorado and has been inspected by the PCAOB on a regular basis, with the last inspection year being 2023, and is therefore not subject to the determinations announced by the PCAOB on December 16, 2021. On August 26, 2022, the PCAOB announced and signed a Statement of Protocol (the “Protocol”) with the China Securities Regulatory Commission and the Ministry of Finance of the People’s Republic of China. On December 15, 2022, the PCAOB announced in the 2022 Determination its determination that the PCAOB was able to secure complete access to inspect and investigate accounting firms headquartered in mainland China and Hong Kong, and the PCAOB Board voted to vacate previous determinations to the contrary. Should the PCAOB again encounter impediments to inspections and investigations in mainland China or Hong Kong as a result of positions taken by any authority in either jurisdiction, including by the CSRC or the MOF, the PCAOB will make determinations under the HFCAA as and when appropriate. We cannot assure you whether NYSE American or other regulatory authorities would apply additional and more stringent criteria to us after considering the effectiveness of our auditor’s audit procedures and quality control procedures, adequacy of personnel and training, or sufficiency of resources, geographic reach, or experience as it relates to the audit of our financial statements. There is a risk that the PCAOB is unable to inspect or investigate completely the Company’s auditor because of a position taken by an authority in a foreign jurisdiction or any other reasons, and that the PCAOB may re-evaluate its determinations as a result of any obstruction with the implementation of the Protocol. Such lack of inspection or re-evaluation could cause trading in the Company’s securities to be prohibited under the HFCAA ultimately result in a determination by a securities exchange to delist the Company’s securities. In addition, under the HFCAA, as amended by the AHFCAA, our securities may be prohibited from trading on the NYSE American or other U.S. stock exchanges if our auditor is not inspected by the PCAOB for two consecutive years, and this ultimately could result in our Common Stock being delisted by the NYSE American.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Employees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2023, we had 239 employees, among which 231 employees were full-time employees and 8 employees were temporary employees. None of our employees is represented by a labor union and, in general, we consider our relationship with our employees to be good.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required by applicable Chinese law, we have entered into employment contracts with substantially all of our officers, managers and employees. We are working towards entering into employment contracts with those employees who do not currently have employment contracts with us. The PRC enacted a new Labor Contract Law, which became effective on January 1, 2008. We have updated our employment contracts and employee handbook and are in compliance with such law.</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2" w:name="a_002"/>
      <w:bookmarkEnd w:id="2"/>
      <w:r>
        <w:rPr>
          <w:rFonts w:ascii="Times New Roman" w:eastAsia="Times New Roman" w:hAnsi="Times New Roman" w:cs="Times New Roman"/>
          <w:b/>
          <w:bCs/>
          <w:i w:val="0"/>
          <w:iCs w:val="0"/>
          <w:smallCaps w:val="0"/>
          <w:sz w:val="20"/>
          <w:szCs w:val="20"/>
        </w:rPr>
        <w:t>ITEM 1A. RISK FACTORS.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Risk Factor Summary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following are some material risks, any of which could have an adverse effect on our business financial condition, operating results, or prospects.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tbl>
      <w:tblPr>
        <w:tblW w:w="5000" w:type="pct"/>
        <w:tblCellSpacing w:w="0" w:type="dxa"/>
        <w:tblCellMar>
          <w:top w:w="0" w:type="dxa"/>
          <w:left w:w="0" w:type="dxa"/>
          <w:bottom w:w="0" w:type="dxa"/>
          <w:right w:w="0" w:type="dxa"/>
        </w:tblCellMar>
      </w:tblPr>
      <w:tblGrid>
        <w:gridCol w:w="33"/>
        <w:gridCol w:w="360"/>
        <w:gridCol w:w="8967"/>
      </w:tblGrid>
      <w:tr>
        <w:tblPrEx>
          <w:tblW w:w="5000" w:type="pct"/>
          <w:tblCellSpacing w:w="0" w:type="dxa"/>
          <w:tblCellMar>
            <w:top w:w="0" w:type="dxa"/>
            <w:left w:w="0" w:type="dxa"/>
            <w:bottom w:w="0" w:type="dxa"/>
            <w:right w:w="0" w:type="dxa"/>
          </w:tblCellMar>
        </w:tblPrEx>
        <w:trPr>
          <w:tblCellSpacing w:w="0" w:type="dxa"/>
        </w:trPr>
        <w:tc>
          <w:tcPr>
            <w:tcW w:w="0" w:type="pct"/>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Risks Related to our Business and our Industry</w:t>
            </w:r>
          </w:p>
        </w:tc>
      </w:tr>
    </w:tbl>
    <w:p>
      <w:pPr>
        <w:spacing w:before="0" w:after="0"/>
        <w:ind w:left="720" w:right="0" w:hanging="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If our products do not attain market acceptance among the medical community, our operations and profitability would be adversely affected;</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If we fail to meet standards pursuant to the newly revised Drug Administration Law, certain production lines will be suspended and our profitability would be adversely affected;</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may be subject from time to time to product cessations or recalls initiated by us or by the NMPA. Product recalls could impose significant costs on us and adversely affect our ability to generate revenue;</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If we fail to develop new products with high profit margins and our high-profit-margin products are replaced by competitors’ products, then our gross will be adversely affected;</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Most of our products are off-patent branded generics that can be manufactured and sold by other pharmaceutical manufacturers in the PRC which may increase the competition we face;</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If we are not able to maintain and enhance our brand recognition to maintain our competitive advantage, our reputation, business and operating results may be harmed;</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Reimbursement may not be available for our products, which could diminish our sales;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growth and success of our business depend on our ability to successfully market our principal products to hospitals and their selection for medicine purchases;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Our future research and development projects may not be successful;</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cooperate with research institutions and universities in the PRC for the research and development of certain new products and any failure of such research institutions to meet our timing and quality standards may pose impairment loss on our financial results and our failure to continue such collaborative arrangement could adversely affect our ability to develop new pharmaceuticals and our overall business prospects;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may not be able to obtain regulatory approval for any of the new products and failure to obtain these approvals could materially harm our business;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New product development in the pharmaceutical industry is time-consuming and costly and has a low rate of successful commercialization;</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may not be able to successfully identify and acquire new products or businesses;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rely on distributors for all of our revenues and failure to maintain relationships or to otherwise expand our distribution network would materially and adversely affect our business;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rely on a limited number of distributors for the majority of sales of our products;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Our operations may be affected if we could not pass the Consistency Evaluation requirement issued by the State Council for any of our current existing products;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face risks related to health pandemics that could impact our sales and operating results;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Our operations may be affected if we could not obtain raw materials from our current key suppliers on acceptable terms;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may not be able to effectively manage our employees and distribution network, and our reputation, business, prospects and brand may be materially and adversely affected by actions taken by our distributors and third party marketing firms;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have limited insurance coverage and may incur losses resulting from product liability claims, business interruptions or claims that could be covered by D&amp;O Insurance;</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Our future liquidity needs are uncertain and we may need to raise additional funds in the future.</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8"/>
        <w:gridCol w:w="360"/>
        <w:gridCol w:w="8962"/>
      </w:tblGrid>
      <w:tr>
        <w:tblPrEx>
          <w:tblW w:w="5000" w:type="pct"/>
          <w:tblCellSpacing w:w="0" w:type="dxa"/>
          <w:tblCellMar>
            <w:top w:w="0" w:type="dxa"/>
            <w:left w:w="0" w:type="dxa"/>
            <w:bottom w:w="0" w:type="dxa"/>
            <w:right w:w="0" w:type="dxa"/>
          </w:tblCellMar>
        </w:tblPrEx>
        <w:trPr>
          <w:tblCellSpacing w:w="0" w:type="dxa"/>
        </w:trPr>
        <w:tc>
          <w:tcPr>
            <w:tcW w:w="0" w:type="pct"/>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Risks Related to Doing Business in China</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Adverse changes in political and economic policies of the PRC government could have a material and adverse effect on the overall economic growth of China, which could reduce the demand for our services and materially and adversely affect our competitive position;</w:t>
            </w:r>
            <w:r>
              <w:rPr>
                <w:rFonts w:ascii="Times New Roman" w:eastAsia="Times New Roman" w:hAnsi="Times New Roman" w:cs="Times New Roman"/>
                <w:b w:val="0"/>
                <w:bCs w:val="0"/>
                <w:i w:val="0"/>
                <w:iCs w:val="0"/>
                <w:smallCaps w:val="0"/>
                <w:color w:val="000000"/>
                <w:sz w:val="20"/>
                <w:szCs w:val="20"/>
              </w:rPr>
              <w:t xml:space="preserve">         </w:t>
            </w:r>
            <w:r>
              <w:rPr>
                <w:rFonts w:ascii="Times New Roman" w:eastAsia="Times New Roman" w:hAnsi="Times New Roman" w:cs="Times New Roman"/>
                <w:b w:val="0"/>
                <w:bCs w:val="0"/>
                <w:i w:val="0"/>
                <w:iCs w:val="0"/>
                <w:smallCaps w:val="0"/>
                <w:color w:val="000000"/>
                <w:sz w:val="20"/>
                <w:szCs w:val="20"/>
              </w:rPr>
              <w:t>o The Chinese government may intervene with or influence our business at any time. That may negatively influence our operation, our ability to continue listing on U.S. exchange and the value of our shares may significantly decline or be worthless, which would materially affect the interest of our stockholders;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PRC legal system has inherent uncertainties that could limit our legal protections available to us;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You may experience difficulties in bringing original actions in the PRC against our company or our management based on U.S. or other foreign laws;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Because we receive substantially all of our revenue in Renminbi, which currently is not a freely convertible currency, we are subject to changes in the PRC’s political and economic decisions;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cannot be certain that the Chinese regulatory authorities will not impose more stringent restrictions on the convertibility of the Renminbi, especially for foreign exchange transactions;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are subject to the environmental protection laws of the PRC that may be costly to comply with and may adversely affect our manufacturing operations;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Compliance with China’s new Data Security Law, Measures on Cybersecurity Review, Personal Information Protection Law (second draft for consultation), regulations and guidelines relating to the multi-level protection scheme and any other future laws and regulations may entail significant expenses and could materially affect our business;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are not required to submit an application to CSRC pursuant to the M&amp;A Rules, nor are we subject to the cybersecurity review. However, based on the recent promulgation of the Trial Measures, which became effective on March 31, 2023, we may be required to complete the filing requirements when we have re-financing or any additional offerings in future;</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Although the audit report included in this annual report was issued by U.S. auditors who are currently inspected by the PCAOB, if it is later determined that the PCAOB is unable to inspect or investigate our auditor completely, investors would be deprived of the benefits of such inspection and our Common Stock may be delisted or prohibited from trading;</w:t>
            </w:r>
          </w:p>
        </w:tc>
      </w:tr>
    </w:tbl>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43"/>
        <w:gridCol w:w="360"/>
        <w:gridCol w:w="8957"/>
      </w:tblGrid>
      <w:tr>
        <w:tblPrEx>
          <w:tblW w:w="5000" w:type="pct"/>
          <w:tblCellSpacing w:w="0" w:type="dxa"/>
          <w:tblCellMar>
            <w:top w:w="0" w:type="dxa"/>
            <w:left w:w="0" w:type="dxa"/>
            <w:bottom w:w="0" w:type="dxa"/>
            <w:right w:w="0" w:type="dxa"/>
          </w:tblCellMar>
        </w:tblPrEx>
        <w:trPr>
          <w:tblCellSpacing w:w="0" w:type="dxa"/>
        </w:trPr>
        <w:tc>
          <w:tcPr>
            <w:tcW w:w="0" w:type="pct"/>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Risks Related to our Common Stock</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may be held in default on our convertible note, which could trigger penalties that worsen our financial condition and potentially disqualify us from listing on the stock exchange where we are currently listed;</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market price for our common stock may be volatile;</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If we issue additional shares of our capital stock, our stockholders will experience dilution in their respective percentage ownership in the company;</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are likely to remain subject to “penny stock” regulations and as a consequence there are additional sales practice requirements and additional warnings issued by the SEC;</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There is substantial doubt about our ability to continue as a going concern;</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do not anticipate paying cash dividends on our common stock;</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Restrictions on the Use of Rule 144 by Shell Companies or Former Shell Companies.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Risks Related to our Business and our Industry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commercial success of our products depends upon the degree of their market acceptance among the medical community. If our products do not attain market acceptance among the medical community, our operations and profitability would be adversely affected.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commercial success of our products depends upon the degree of market acceptance they achieve within the medical community, particularly among physicians and hospital administrators. Physicians may not prescribe or recommend our products to patients and procurement departments of hospitals may not purchase our products if physicians or hospital pharmacists do not find our products attractive. The acceptance and use of our products among the medical community will depend upon a number of factors, including: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perception of physicians, patients and others in the medical community as to the safety and effectiveness of our products;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prevalence and severity of any side effects;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pharmacological benefit of our products relative to competing products and products under development;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efficacy and potential advantages of our products relative to competing products and products under development;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relative convenience and ease of administration of our products;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methods by which our pharmaceutical products may be delivered to patients;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effectiveness of our education, marketing and distribution efforts and those of our distributors;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publicity concerning our products or competing products and treatments; and</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price of our products and competing products.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If we fail to meet standards pursuant to the newly revised Drug Administration Law, the production at certain of our production lines will be suspended and our operations and profitability would be adversely affected.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All of our existing production lines have met the GMP Standards which became effective as of March 1, 2011. On December 1, 2019 the newly revised Drug Administration Law (the “New Law”) came into effect. One of the major amendments of the New Law is the cancellation of GMP certification. The New Law eliminated the requirement that drug administration authorities shall assess drug manufacture enterprises and drug trading enterprises, and issue assessment certificates. Instead, it requires that drug manufacturing enterprises and drug trading enterprises establish and improve the quality management systems of manufacture and trade of drugs, and ensure that the process of manufacturing and trading of drugs always meets all legal requirements. This means a stricter form of supervision is implemented comparing to the prior GMP certificates system.</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While all of our existing product lines are in full compliance with the GMP standards issued in 2011, in the event we fail to continually meet the requirements of the GMP and receive the deficiency feedback from any pilot inspection under the New Law, the production on such production line(s) could be suspended and our operations and profitability could be adversely affected.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be subject from time to time to product cessations or recalls initiated by us or by the NMPA. Product cessations or recalls could impose significant costs on us and adversely affect our ability to generate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our business, we must comply with a variety of product safety and product testing regulations. In particular, our products are subject to, among other statutes and regulations, those issued by the NMPA. If the NMPA issues any notices to cease the production, sale and use of any of our products, or request Helpson to recall any of our products we sold, we must comply with such requirements. As a result, we may incur significant costs in complying with cessation or recall requirements, and our financial results could be materially and adversely affected. Furthermore, concerns about potential liability or potential future changes in product safety regulations may lead us to voluntarily recall or otherwise discontinue selling selected products, which could materially and adversely affect our results of operations.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Recalls may also harm our reputation, increase our costs and reduce our net sales. Governments and regulatory agencies in the markets where we manufacture and sell products may enact additional regulations relating to product safety and consumer protection in the future or take other actions that may adversely impact our business. The NMPA has the authority to revoke drug approvals previously granted and remove previously approved products from the market for various reasons.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If we fail to develop new products with profit margins and our high-profit-margin products are replaced by competitors’ products, then our gross and net profits margins will be adversely affected.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had gross loss margins of -4.0% for the year ended December 31, 2023, compared to gross loss margins of -6.1% for the year ended December 31, 2022. The pharmaceutical market in the PRC remains very competitive, and there may be pressure to reduce sale prices of products without a corresponding decrease in the cost of sold products. To the extent that we fail to develop new products with high profit margins and our high-profit-margin products are replaced by our competitors’ products, our gross profit margins and net profit margins will be adversely affected. In addition, three of our products are included in the National Essential Drug List (the “EDL”), which are subject to strict governmental price controls. Therefore, our gross profit margin and net profit margins could be adversely affected notwithstanding any increase in our revenues.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products face substantial competition. Other companies may discover, develop, acquire or commercialize products earlier or more successfully than we do.</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operate in a highly competitive environment. Our products compete with other products or treatments for diseases that treat similar medical conditions. Many of our products may compete against products that have lower prices, superior performance, greater ease of administration or other advantages. We would face enhanced competition if competitive products are added to the National Medical Insurance Program. Our inability to compete effectively could reduce sales or margins, which could have a material adverse effect on our results of our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Some of our competitors are actively engaging in research and development in areas in which we have products or in which we are developing new product or new indications for existing products. In the future, we expect that our products will compete with new drugs currently in development, drugs approved for other indications that may be approved for the same indications as those of our products and drugs approved for other indications that are used off-label. If alternatives to our products are dispensed or prescribed to patients, the volume of our products sold may decline or we may be required to lower the prices of our products to remain competitive, either of which could negatively impact our sales. In addition, an increasing number of foreign pharmaceutical companies have introduced their pharmaceutical products into the Chinese market. Competitive products introduced by these companies can also negatively impact our sales and results of operations.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Large Chinese state-owned and privately owned pharmaceutical companies and foreign-invested or foreign pharmaceutical companies may have greater clinical, research, regulatory, manufacturing, marketing, financial and human resources than we do. In addition, some of our competitors may have technical or competitive advantages over us with respect to the development of technologies and processes. These resources may make it difficult for us to compete with them to successfully discover, develop and market new products and for our current products to compete with new products or new product indications that these competitors may bring to market. There may also be significant consolidation in the pharmaceutical industry among our competitors. Alliances may develop among competitors, and these alliances may rapidly acquire significant market share.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Furthermore, in order to gain market share in China, competitors may significantly increase their advertising expenditures and promotional activities or even engage in irrational or predatory pricing behavior. In addition, our competitors may engage in inappropriate competition or illegal acts, such as bribery. Third parties may actively engage in activities designed to undermine our brand name and product quality or to influence customer confidence in our products. Increased competition may result in price reductions, reduced margins and loss of market share, any of which could materially adversely affect our profit margins. We may not be able to compete effectively against current and future competitors.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Most of our products are off-patent branded generics that can be manufactured and sold by other pharmaceutical manufacturers in the PRC which may increase the competition we face and reduce our business profitability.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Most of our products are off-patent branded generic pharmaceuticals and are not protected by intellectual property rights. As a result, other pharmaceutical companies may sell equivalent products at a lower cost, and this might result in a commensurate loss in sales of our branded generic products or require us to lower our prices to compete. If other pharmaceutical companies sell pharmaceutical products that are similar to our unprotected products, we may face additional competition and our business and profitability may be adversely affected.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business depends in part on our well-known Helpson brand name, and if we are not able to maintain and enhance our brand recognition to maintain our competitive advantage, our reputation, business and operating results may be harmed.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believe that market awareness of our Helpson brand has contributed significantly to the success of our business. We also believe that maintaining and enhancing the Helpson brand is critical to maintaining our competitive advantage. Although our sales and marketing staff will continue to further promote our brand to remain competitive, we may not be successful. If we are unable to further enhance our brand recognition and increase awareness of our products, or if we are compelled to incur excessive marketing and promotion expenses in order to maintain our brand awareness, our business and results of operations may be materially and adversely affected. Furthermore, our sales and results of operations could be adversely affected if the Helpson brand or our reputation is impaired by recalls or negative publicity for one of our branded products, or certain actions taken by our distributors, competitors, third-party marketing firms or relevant regulatory authorities.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Reimbursement may not be available for our products, which could diminish our sales or affect our ability to sell our products profitably.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Market acceptance and sales of our products also depend on a large extent on the reimbursement policies of the PRC government. The Ministry of Labor and Social Security of the PRC or provincial or local labor and social security authorities, together with other government authorities, review the inclusion or removal of drugs from the national medical insurance catalog or provincial or local medical insurance catalogs for the National Medical Insurance Program every other year, and catalogs under which a drug will be classified affect the amounts reimbursable to program participants for their purchases of those medicines. These determinations are made based on a number of factors, including price and efficacy. Generally, there are two catalogs, the National Insurance Catalogue (“NIC”) and the EDL on which a product can be included. The products selected for the EDL generally are selected from the NIC. A consumer can be reimbursed for the full cost of a medicine on the EDL and can be reimbursed from 80% to 90% of the cost of a medicine listed on the NIC. Our Cefalexin, Clarithromycin and Omeprazole products are currently included in the EDL. If government authorities decide to remove these products from the medicine catalogs, such removal may reduce the affordability of our products and change the public perception regarding our products, which, in turn, would adversely affect the sales of these products and reduce our net revenue. Furthermore, if we are unable to obtain approval from the relevant government authorities to include our new products in the national, provincial or local medicine EDLs or NICs, sales of our new products maybe materially and adversely affected.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growth and success of our business depend on our ability to successfully market our principal products to hospitals and their selection in tender processes used by hospitals for medicine purchases.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future growth and success significantly depend on our ability to successfully market our principal products to hospitals as prescription medicines. Approximately 80% of the end-customers of our products are hospitals. Hospitals may make bulk purchases of a medicine included in the national and provincial medicine catalogs only if that medicine is selected under a government-administered tender process. A hospital’s interest in a particular medicine is evidenced by:</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inclusion of this medicine on the hospital’s formulary, which establishes the scope of medicines physicians at this hospital may prescribe to their patients, and</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willingness of physicians at a hospital to prescribe this medicine to their patients.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believe effective marketing efforts are critical in ensuring that hospitals and physicians are interested in purchasing our products. If our marketing efforts are not effective, hospital administrators may not want to include our products in their formularies or may remove them from their formularies, or physicians may not be interested in prescribing our products to their patients. As a result, we may find it difficult to maintain the existing level of sales of our products, and our revenues and profitability may decline.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future research and development projects may not be successful.</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successful development of pharmaceutical products can be influenced by many factors. Products that appear to be promising in their early phases of research and development may fail to be commercially viable for various reasons, such as failing to obtain the necessary regulatory approvals. Additionally, the research and development process for new products for which we may obtain an approval certificate is long. The process of conducting basic research and various stages of tests and trials of a new product before obtaining an approval certificate and commercializing the product may require ten years or longer. A few of our product candidates are in the early stages of pre-clinical study and clinical trials and we must conduct a significant number of additional clinical trials before we can seek the regulatory approvals necessary to begin commercial production and sales of these products. We cannot guarantee that our future research and development projects will be successful or completed within their anticipated time frames or budgets, or that we will receive the necessary approvals from the relevant authorities for the production of these products, or that these newly-developed products will achieve commercial success.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competitors may obtain approval for a competitive product before our product we are developing is approved. If this occurs, we may be precluded from getting approval until the competitor’s monitoring period expires and realize little to no benefit from our research and development investment.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Even if such products can be successfully commercialized, they may not achieve the level of market acceptance that we expect. Additionally, the pharmaceutical industry is characterized by rapid changes in technology, constant enhancements of industry know-how and the frequent emergence of new products. Future technological improvements and continual product developments in the pharmaceutical market may render our existing products obsolete or affect their viability and competitiveness. Therefore, our future success will largely depend on our development capability, including our ability to improve our existing products, diversify our product range and develop new and competitively-priced products that meet the requirements of the changing market. Should we fail to respond to these frequent technological advances by failing to improve our existing products, develop new products in a timely manner, or have these products reach a desirable level of market acceptance, our business and profitability will be materially and adversely affected.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cooperate with research institutions and universities in the PRC for the research and development of certain new products and any failure of such research institutions to meet our timing and quality standards may pose impairment loss on our financial results and our failure to continue such collaborative arrangement or enter into such new arrangements could adversely affect our ability to develop new pharmaceuticals and our overall business prospects</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business strategy includes collaborating with third parties for the research and development of new products. We have maintained long-term cooperative relationships with a number of research institutions and universities in the PRC. These research institutions and universities used to collaborate with us in a number of research projects and certain of our products with approval certificates were developed by such research institutions. Any failure of such research institutions to meet the required quality standards and timetables set forth in their research agreements with us, or our inability to enter into additional research agreements with these research institutions on terms acceptable to us in the future, may have an adverse effect on our ability to develop new medicines and on our business prospects.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While the Company may resume the development of these formulas in the future if sufficient funding and other favorable conditions arise, we cannot guarantee that we will be able to enter into agreements with new parties on terms acceptable to us. Our inability to enter into such agreements or our failure to maintain such arrangements could limit the number of new products that we develop and ultimately decrease our sources of future revenue.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not be able to obtain regulatory approval for any of the new products and failure to obtain these approvals could materially harm our business.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All new medicines must be approved by the NMPA before they can be marketed and sold in the PRC. The NMPA requires successful completion of clinical trials and demonstrated manufacturing capability before it grants approval. It often takes a number of years before a medicine can be ultimately approved by the NMPA. In addition, the NMPA and other regulatory authorities may apply new standards for safety, manufacturing, packaging, and distribution of future product candidates.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Complying with such standards may be time-consuming and expensive and could result in delays in obtaining NMPA approval for our future product candidates, or possibly preclude us from obtaining NMPA approval altogether. For example, due to the enhanced criteria introduced during the implementation process of the trial of one of our products in the dried powder injectable and granule production lines in our old plant, the clinical trials lasted longer than originally expected. Furthermore, our future products may not be effective or may prove to have undesirable or unintended side effects, toxicities or other characteristics that may preclude us from obtaining regulatory approval and prevent or limit their commercial use. The NMPA and other regulatory authorities may not approve the products that we develop and even if we do obtain regulatory approvals, such regulatory approvals may be subject to limitations on the indicated uses for which we may market a product, which may limit the size of the market for such product.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New product development in the pharmaceutical industry is time-consuming and costly and has a low rate of successful commercialization</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success depends in part on our ability to improve our existing products and to develop new products. The development process for pharmaceutical products is complex and uncertain, as well as time-consuming and costly. Relatively few research and development programs can finally develop a commercial product. A product candidate that appears promising in the early phases of development may fail to reach the market for a number of reasons, such as: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failure to demonstrate safety and efficacy in preclinical and clinical trials;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failure to obtain approvals for intended use from relevant regulatory bodies, such as the NMPA;</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our inability to manufacture and commercialize sufficient quantities of the product economically; and</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proprietary rights, such as patent rights, held by others to our product candidates and their refusal to sell or license such rights to us on reasonable terms, or at all.</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Delays in any part of the development process or our inability to obtain regulatory approval of our products could adversely affect our operating results by restricting or delaying our introduction of new products. Even if we successfully commercialize new products, these products may compete with our mature products and may result in a reduction in the sales volume of our mature product or vice versa. Failure to develop, obtain necessary regulatory clearances or approvals for or successfully commercialize or market potential new products or technologies could have a material adverse effect on our financial condition and results of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not be able to successfully identify and acquire new products or businesses</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to our own product development efforts, our growth strategy also relies on our acquisitions of new product candidates, products or businesses from third parties. Any future growth through acquisitions will be dependent upon the continued availability of suitable acquisition candidates at favorable prices and favorable terms and conditions. Even if such opportunities present themselves, we may not be able to successfully identify them. Moreover, other companies, many of which may have substantially greater financial, marketing and sales resources, are competing with us for the right to acquire such product candidates, products or businesses.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rely on distributors for all of our revenues and failure to maintain relationships with and collect payment from, our distributors or to otherwise expand our distribution network would materially and adversely affect our business</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sell our products exclusively to pharmaceutical distributors in the PRC and rely on distributors for all of our revenues. We have business relationships with over 1,000 distributors in the PRC. For the year ended December 31, 2023, no customer accounted for more than 10.0% of sales, and three customers accounted for 62.5%, 13.5% and 6.2% of accounts receivable. In line with industry practices in the PRC, we enter into written sales agreements with our distributors. However, such sales agreements are not in substance equivalent to a typical distribution agreement in the United States. Each sales agreement is more in the form of a sales order and specifies one or several purchases of one or more products without any continuing obligation to purchase any additional amount of products. There are no written contracts between the Company and any of its distributors requesting the distributors to pay the Company’s account receivable upon their receipt of funds from its customers, or state-owned hospitals. Pharmaceutical distributors typically process the payment of the account receivable to the Company upon their receipt of payment from their customers, i.e., the state-owned hospitals, as a matter of implied consensus. In the event the length of collection term is deviated from any of the past pattern of any particular customer, the Company will adjust its credit term. Any potential default in repaying the accounts receivable without recourse by the Company may materially and negatively affect the Company’s profitability and business. In the event certain distributors choose not to continue their relationship with us after completing their existing sales agreements, they can do so without breaching any contract or agreement, our financial results could be adversely affected if we cannot find the substantially similar distributors in time under such circumstances. In addition, some of our distributors may sell products that compete with our products. We compete for desired distributors with other pharmaceutical manufacturers, many of which may have higher visibility, greater name recognition, financial resources, and broader product selection than we do. Consequently, maintaining relationships with existing distributors and replacing distributors may be difficult and time-consuming. Any disruption of our distribution network, including our failure to renew our existing distribution agreements with our desired distributors, could negatively affect our ability to effectively sell our products and would materially and adversely affect our business, financial condition and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rely on a limited number of distributors for the majority of sales of our products</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rely on a limited number of distributors for most of our net revenue. Our top five distributors in aggregate accounted for 22% and 20% of our net revenues in 2023 and 2022, respectively. We expect that a relatively small number of distributors will continue to account for a major portion of our net revenue in the near future. Our dependence on a few distributors may expose us to the risk of substantial losses if a single large distributor stops purchasing our products, purchases lower quantities of our products or goes out of business and we cannot find substitute distributors on equivalent terms. If any of our large distributors reduces the quantity of the products they purchase from us or stops purchasing from us, our net revenue would be materially and adversely affected.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operations may be affected if we could not pass the Consistency Evaluation requirement issued by the State Council for any of our current existing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Generic drugs refer to drugs with the same active ingredient, dosage form, delivery channel and therapeutic effects compared to the original drugs. The “Consistency Evaluation” requires currently marketed generic products to prove their consistency in term of quality and therapeutic effect, and substitutability during clinical trials with original drug. The Consistency Evaluation could enhance the development of pharmaceutical industry, ensure drug safety and effectiveness, promote the upgrading and restructuring the pharmaceutical industry, and improve international competitiveness. Both </w:t>
      </w:r>
      <w:r>
        <w:rPr>
          <w:rFonts w:ascii="Times New Roman" w:eastAsia="Times New Roman" w:hAnsi="Times New Roman" w:cs="Times New Roman"/>
          <w:b w:val="0"/>
          <w:bCs w:val="0"/>
          <w:i/>
          <w:iCs/>
          <w:smallCaps w:val="0"/>
          <w:sz w:val="20"/>
          <w:szCs w:val="20"/>
        </w:rPr>
        <w:t>Relevant Matters Related to the Implementation of the Opinions of the General Office of the State Council on the Consistent Evaluation of the Quality and Efficacy of Generic Drugs</w:t>
      </w:r>
      <w:r>
        <w:rPr>
          <w:rFonts w:ascii="Times New Roman" w:eastAsia="Times New Roman" w:hAnsi="Times New Roman" w:cs="Times New Roman"/>
          <w:b w:val="0"/>
          <w:bCs w:val="0"/>
          <w:i w:val="0"/>
          <w:iCs w:val="0"/>
          <w:smallCaps w:val="0"/>
          <w:sz w:val="20"/>
          <w:szCs w:val="20"/>
        </w:rPr>
        <w:t xml:space="preserve"> (No. 106 of 2016) issued on May 26, 2016, and </w:t>
      </w:r>
      <w:r>
        <w:rPr>
          <w:rFonts w:ascii="Times New Roman" w:eastAsia="Times New Roman" w:hAnsi="Times New Roman" w:cs="Times New Roman"/>
          <w:b w:val="0"/>
          <w:bCs w:val="0"/>
          <w:i/>
          <w:iCs/>
          <w:smallCaps w:val="0"/>
          <w:sz w:val="20"/>
          <w:szCs w:val="20"/>
        </w:rPr>
        <w:t>Announcement of the General Administration on the Consistency Evaluation of the Quality and Efficacy of Generic Drugs</w:t>
      </w:r>
      <w:r>
        <w:rPr>
          <w:rFonts w:ascii="Times New Roman" w:eastAsia="Times New Roman" w:hAnsi="Times New Roman" w:cs="Times New Roman"/>
          <w:b w:val="0"/>
          <w:bCs w:val="0"/>
          <w:i w:val="0"/>
          <w:iCs w:val="0"/>
          <w:smallCaps w:val="0"/>
          <w:sz w:val="20"/>
          <w:szCs w:val="20"/>
        </w:rPr>
        <w:t xml:space="preserve"> (No. 100 of 2017) issued on August 28, 2017 require that if a drug has more than 3 manufacturers passed the consistency evaluation, then the drug manufacturers without consistency evaluation valid status will have no access to participate in the drug Centralized Procurement. NMPA issued an official document on The Implementation of the Evaluation of the Quality and Efficacy of Chemical Injection Generics on May 14, 2020, requiring consistent evaluation for generics of pharmaceutical injections that are already on the market. If we fail to complete the consistency evaluations for our generic drugs per the government’s requirements, our business and operation will be negatively impacted.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operations may be affected if we could not obtain raw materials from our current key suppliers on acceptable terms.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need a supply of a wide variety of raw materials to manufacture our products. Currently, we rely on numerous suppliers in the PRC and overseas to deliver our required raw materials. We have at least three principal suppliers for each of our most critical raw materials. For the year ended December 31, 2023, three suppliers accounted for 17.7%, 13.8% and 9.1% of raw material purchases and for the year ended December 31, 2022, three suppliers accounted for 21.7%, 11.1% and 8.9% of raw material purchases.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Historically, we have not had difficulty obtaining raw materials from suppliers. However, we cannot assure in the future we will not encounter any difficulty in obtaining the supplies, nor can we predict the impact on our suppliers of the current economic environment and other developments in their respective businesses, either. Insolvency, financial difficulties or other factors may result in our suppliers not being able to fulfill the terms of their agreements with us. Furthermore, such factors may render suppliers unwilling to extend contracts that provide favorable terms to us or may force them to seek to renegotiate existing contracts. Although we believe we have alternative sources of supply for the raw materials used in our business, termination of our relationships with any of our key suppliers could have a material adverse effect on our business, financial condition or results of operations in the unlikely event that we are unable to obtain adequate raw materials from other sources in a timely manner or at all.</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not be able to effectively manage our employees and distribution network, and our reputation, business, prospects and brand may be materially and adversely affected by actions taken by our distributors and third party marketing firms.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limited ability to manage and control the activities of our independent distributors and third-party marketing firms that we contract to promote our products and brand name, therefore, our reputation, business, prospects and brand may be materially and adversely affected by actions taken by them. Our distributors and third-party marketing firms could take one or more of the following actions, any of which could have a material adverse effect on our business, prospects and brand: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 our products outside their designated territory, possibly in violation of the exclusive distribution rights of other distributors;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fail to adequately promote our products;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promote competing products in lieu of our products; or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violate the anti-corruption laws of China, the United States or other countries.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Additionally, although our company policies prohibit our employees from making improper payments to hospitals or otherwise engaging in improper activities to influence the procurement decisions of hospitals, we may not be able to effectively manage our employees, as the compensation of our sales and marketing personnel is partially linked to their sales performance. As a result, we cannot assure you that our employees will not violate the anticorruption laws of the PRC, the United States and other countries. Such violations could have a material adverse effect on our reputation, business, prospects and brand.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Failure to adequately manage our employees, distribution network or third-party marketing firms, or their non-compliance with employment, distribution or marketing agreements could harm our corporate image among hospitals and end users of our products and disrupt our sales, resulting in a failure to meet our sales goals. Furthermore, we could be liable for actions taken by our employees, distributors or third-party marketing firms, including any violations of applicable law in connection with the marketing or sale of our products, including China’s anticorruption laws and the Foreign Corrupt Practices Act of the United States, or the FCPA. In particular, if our employees, distributors or third-party marketing firms make any payments that are forbidden under the FCPA, we could be subject to civil and criminal penalties imposed by the U.S. government.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Recently, the PRC government has increased its anti-corruption measures. In the pharmaceutical industry, corrupt practices include, among others, acceptance of rebates, bribes or other illegal gains or benefits by hospitals and medical practitioners from pharmaceutical manufacturers and distributors in connection with the prescription of certain pharmaceuticals. Our employees, affiliates, distributors or third-party marketing firms may violate these laws or otherwise engage in illegal practices with respect to their sales or marking of our products or other activities involving our products. If our employees, affiliates, distributors or third-party marketing firms violate these laws, we could be required to pay damages or fines, which could materially and adversely affect our financial condition and results of operations. In addition, PRC laws regarding the types of payments to promote or sell our products that are impermissible are not always clear. As a result, we, our employees, affiliates, our distributors or third-party marketing firms could make certain payments in connection with the promotion or sale of our products or other activities involving our products which at the time could be reasonably determined to be legal but are later deemed impermissible by the PRC government. Furthermore, our brand and reputation, our sales activities or the price of our common stock could be adversely affected if we become the target of any negative publicity as a result of actions taken by our employees, affiliates, distributors or third-party marketing firms.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have limited insurance coverage and may incur losses resulting from product liability claims, business interruptions or claims that could be covered by D&amp;O Insurance.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nature of our business exposes us to the risk of product liability claims that is inherent in the research and development, manufacturing and marketing of pharmaceutical products. Using product candidates in clinical trials also exposes us to product liability claims. These risks are greater for our products that receive regulatory approval for commercial sale. Even if a product is approved for commercial use by an appropriate governmental agency, there can be no assurance that users will not claim effects other than those intended resulted from the use of our products. While no material claim for personal injury resulting from allegedly defective products has been brought against us to date, a substantial claim or a substantial number of claims, if successful, could have a material adverse impact on our business, financial condition and results of operations. Such lawsuits may divert the attention of our management from our business strategies, may be costly to defend and may negatively impact our reputation and our Helpson brand’s reputation, and may harm the sales of our other branded products. In addition, product liability insurance for pharmaceutical products is not available in the PRC. In the event of allegations that any of our products are harmful, we may experience reduced consumer demand for our products or our products may be recalled from the market. We may also be forced to defend lawsuits and, if unsuccessful, to pay a substantial amount in damages, legal fees, and other related expenses. In addition, business interruption insurance available in the PRC offers limited coverage compared to that offered in many other countries. We do not have any business interruption insurance. Any business disruption or natural disaster could result in substantial costs and diversion of resources. Lastly, we currently do not have directors and officers insurance. In the event we or any of our directors or officers are sued under any proceedings or actions that could be covered by a standard D&amp;O insurance, we may incur substantial costs and expenses to defend such case.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future liquidity needs are uncertain and we may need to raise additional funds in the future.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Based on our current operating plans, we expect our existing resources to be sufficient to fund our existing operations for at least 12 months. However, we may need to raise additional funds to expand our operations. In addition, we may need to raise additional funds if our expenditures exceed our current expectations. This could occur for a number of reasons, including: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decide to devote significant amount of financial resources to the development of products that we believe to have significant commercialization potential;</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decide to acquire or license rights to additional product candidates or new technologies;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some of our product candidates fail in clinical trials or pre-clinical studies or prove not to be as commercially promising as we expected, and we are forced to develop or acquire additional product candidates;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Some of our product candidates require more extensive clinical or pre-clinical testing or clinical trials for these product candidates take longer to complete than we currently expect; or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 decide or are required to conduct more high-throughput screening than expected against current or additional disease targets to develop additional product candidates.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ability to raise additional funds in the future is subject to a variety of uncertainties, including: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our future financial condition, results of operations and cash flows;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general market conditions for capital-raising activities by pharmaceutical companies; and</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economic, political and other conditions in China and elsewhere.</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cannot assure you that our revenues will be sufficient to meet our operational needs and capital requirements. If we need to obtain external financing, we cannot assure you that financing will be available in amounts or on terms acceptable to us, if at all. Our future liquidity needs and other business reasons could require us to sell additional equity or debt securities or obtain a credit facility. The sale of additional equity or equity-linked securities could result in additional dilution to our stockholders. The incurrence of additional indebtedness would result in increased debt service obligations and could result in operating and financing covenants that would restrict our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failure to manage growth effectively could have an adverse effect on our business, financial condition and results of our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rapid market growth of our pharmaceutical products may pose more requirements or more costs on the employment management for managerial, operational, financial and other purposes. As of December 31, 2023, we had 239 employees. To keep up with the rapid development of the Chinese pharmaceutical industry, it will impose significant responsibilities upon the members of management to identify, recruit, maintain, integrate and motivate new and old employees In addition, we may need to increase the salary, or the equity incentive plan for the employees to keep them in the Company. Aside from the increased difficulties and increased costs in the management of human resources, we may also encounter working capital issues, as we need increased liquidity to finance the purchases of raw materials and supplies, drug formulas for new products, investment in research and development, acquisition of new businesses and technologies. Our failure to manage any of the above business administration may lead to operational and financial inefficiencies that will have a negative effect on our profitability.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depend upon key employees and consultants in a competitive market for skilled personnel. If we are unable to attract and retain key personnel, it could adversely affect our ability to develop and market our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highly dependent upon the principal members of our management team, especially Ms. Zhilin Li, our Chairperson, President and Chief Executive Officer. We cannot not guarantee that Ms. Li will stay in the Company in the long run, and the loss of Ms. Li’s services would adversely affect our ability to develop and market our products. We also depend in part on the continued services of our key scientific personnel and our ability to identify, hire and retain additional personnel, including marketing and sales staff. We face intense competition for qualified personnel, and the existence of noncompetition agreements between prospective employees and their former employers may prevent us from hiring those individuals or subject us to suit from their former employers. While we attempt to provide competitive compensation packages to attract and retain key personnel, many of our competitors are likely to have greater resources and more experience than we have, making it difficult for us to compete successfully for key personnel.</w:t>
      </w:r>
    </w:p>
    <w:p>
      <w:pPr>
        <w:spacing w:before="0" w:after="0"/>
        <w:ind w:left="0" w:right="0" w:firstLine="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Certain of our employees and consultants were previously employed at other biotechnology or pharmaceutical companies, including our competitors or potential competitors, or at universities or other research institutions. Although there is currently no claim against us, we may be subject to claims that these employees or consultants have, inadvertently or otherwise, used or disclosed trade secrets or other proprietary information of their former employers. It may be necessary to for us to litigate and defend against these claims. Even if we successfully defend against these claims, litigation could result in substantial costs and be a distraction to our management. If we fail to defend such claims, in addition to paying monetary damages, we may lose valuable intellectual property rights or personnel.</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Power shortages, natural disasters, terrorist acts or other calamities could disrupt our production and have a material adverse effect on our business, financial position and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All of our products are produced at our manufacturing facility in Hainan, China, which is exposed to certain natural disasters such as typhoons. A significant disruption at that facility, even on a short-term basis, could impair our ability to timely produce and ship products, which could have a material adverse effect on our business, financial position and results of operations. Our manufacturing operations are vulnerable to interruption and damage from natural and other types of disasters, including earthquake, fire, floods, environmental accidents, power loss, communications failures and similar events. If any disaster were to occur, our ability to operate our business at our facilities would be seriously impaired.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we do not maintain any insurance other than property insurance for some of our buildings, vehicles and equipment. Accordingly, unexpected business interruptions resulting from disasters could disrupt our operations and thereby result in substantial costs and diversion of resources. Our production process requires a continuous supply of electricity. We have encountered power shortages historically due to restricted power supply to industrial users during summers when the usage of electricity is high and supply is limited or as a result of damage to the electricity supply network. Because the duration of those power shortages was brief, they had no material impact on our operations. Longer interruptions of electricity supply could result in lengthy production shutdowns, increased costs associated with restarting production and the loss of production in progress. Any major suspension or termination of electricity or other unexpected business interruptions could have a material adverse impact on our business, financial condition and results of operations.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cannot guarantee the protection of our intellectual property rights, and if infringement or counterfeiting of our intellectual property rights occurs, then our reputation and business may be adversely affected.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protect the brand names of our products, we have registered and applied for registration of certain of our trademarks in the PRC. Currently eight of the 19 pharmaceutical products we manufacture are marketed under a brand registered as a trademark in China. We also purchased six pharmaceutical compounds from certain third parties that we are seeking to develop into a further product.   To date, we have not experienced any infringements of our trademarks for sales of pharmaceutical products or our exclusive patent license, and we are not aware of any infringement of our intellectual property rights. However, there is no guarantee that there will not be any infringements of our brand name or other registered trademarks or counterfeiting of our products in the future. There is no guarantee that there will not be any third-party infringement of our patents. Should any such infringement or counterfeiting occur, our reputation and business may be adversely affected. We may also incur significant expenses and substantial amounts of time and effort to protect our intellectual property rights in the future. Such diversion of our resources may adversely affect our existing business and future expansion plans.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Litigation may be necessary in the future to enforce our intellectual property rights or to determine the validity and scope of the intellectual property rights of others. However, because the validity, enforceability and scope of protection of intellectual property rights in the PRC are uncertain and still evolving, we may not be successful in prosecuting these cases. In addition, any litigation or proceeding or other efforts to protect our intellectual property rights could result in substantial costs and diversion of our resources and could seriously harm our business and operating results. Furthermore, the degree of future protection of our proprietary rights is uncertain and may not adequately protect our rights or permit us to gain or keep our competitive advantage. If we are unable to protect our trade names, trade secrets and other propriety information from infringement, our business, financial condition and results of operations may be materially and adversely affected.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Risks Related to Doing Business in China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Adverse changes in political and economic policies of the PRC government could have a material and adverse effect on the overall economic growth of China, which could reduce the demand for our services and materially and adversely affect our competitive position.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conduct substantially all of our business and have historically derived all of our revenues in China. Accordingly, our business, financial condition, results of operations and prospects are affected significantly by economic, political and legal developments in China. The Chinese economy differs from the economies of most developed countries in many respects, including: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degree of government involvement;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level of development;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growth rate;</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control of foreign exchange;</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access to financing; and</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allocation of resources.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While the Chinese economy has experienced significant growth in the past 30 years, growth has been uneven, both geographically and among various sectors of the economy. The Chinese economy has also experienced certain adverse effects due to the recent global financial crisis. The Chinese government has implemented various measures to encourage economic growth and guide the allocation of resources. Some of these measures benefit the overall Chinese economy, but may also have a negative effect on us. For example, our operating results and financial condition may be adversely affected by government control over capital investments or changes in tax regulations that are applicable to us, and by government policies or guidance aimed at curtailing the perceived over-capacity of certain industry sectors, such as pharmaceutical companies. The Chinese government has implemented certain measures, including interest rate increases, to control the pace of economic growth. These measures may cause decreased economic activity in China, which could in turn reduce the demand for our products and materially and adversely affect our operating results and financial condition.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China’s economy has been transitioning from a planned economy to a more market-oriented economy. Although in recent years the Chinese government has implemented measures emphasizing the utilization of market forces for economic reform, the reduction of state ownership of productive assets and the establishment of sound corporate governance in business enterprises, Chinese government still has substantive power to certain areas that may be related to the business operations of our operating entities, such as the right to use land, price of certain of our products, and it could materially and adversely affect our business.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Any adverse change in the economic conditions or government policies in China could have a material and adverse effect on overall economic growth and the level of investments in health industries in China, which in turn could lead to a reduction in demand for our products and consequently have a material and adverse effect on our business.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Chinese government may intervene with or influence our business at any time. That may negatively influence our operation, our ability to continue listing on U.S. exchange and the value of our shares may significantly decline or be worthless, which would materially affect the interest of our stockholders.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Chinese central or local governments may impose new, stricter regulations or interpretations of existing regulations that would require additional expenditures and efforts on our part to ensure our compliance with such regulations or interpretations. Accordingly, government actions in the future, including any decision not to continue to support recent economic reforms and to return to a more centrally planned economy or regional or local variations in the implementation of economic policies, could have a significant effect on economic conditions in China or particular regions thereof, and could require us to divest ourselves of any interest we then hold in Chinese properties.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such, our business segments may be subject to various government and regulatory interference in the provinces in which they operate. The Company could be subject to regulation by various political and regulatory entities, including various local and municipal agencies and government sub-divisions. The Company may incur increased costs necessary to comply with existing and newly adopted laws and regulations or penalties for any failure to comply. The Chinese government may intervene with or influence our operations at any time with little advance notice, which could result in a material change in our operations and in the value of our shares.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PRC legal system has inherent uncertainties that could limit the legal protections available to us.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PRC legal system is a civil law system based on written statutes. Unlike common law systems, it is a system in which legal cases have little precedential value. In the late 1970s, the PRC government began to promulgate a comprehensive system of laws and regulations governing commercial matters. The overall effect of legislation enacted over the past 20 years has significantly enhanced the protections afforded to foreign-invested enterprises in China. However, these laws, regulations and legal requirements are relatively recent and are evolving rapidly, and their interpretation and enforcement involve uncertainties. These uncertainties could limit the legal protections available to foreign investors.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practical effect of the PRC legal system on our business operations in China can be viewed as two separate but intertwined considerations. First, as a matter of substantive law, the Foreign Invested Enterprise laws provide significant protection to keep the Company from government interference. In addition, these laws guarantee the full benefit of corporate articles and contracts to foreign invested enterprise participants. These laws, however, do impose standards concerning corporate formation and governance that are not qualitatively different from the corporation laws found in the United States. Similarly, PRC accounting laws mandate accounting practices that may not be consistent with the U.S. generally accepted accounting principles. PRC accounting laws require that an annual “statutory audit” be performed in accordance with PRC accounting standards and that the account books of a foreign invested enterprise be maintained in accordance with PRC accounting laws. Article 14 of the PRC Wholly Foreign-Owned Enterprise Law requires a wholly foreign-owned enterprise to submit certain periodic fiscal reports and statements to designated financial and tax authorities. If a foreign-invested enterprise refuses to keep account books in China, the financial and tax authorities may impose a fine on it, and the industry and commerce administration authority may order it to suspend operations or may revoke its business license.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Second, while the enforcement of substantive rights may be less clear than United States procedures, foreign-invested enterprises and foreign wholly-owned enterprises are PRC registered companies that enjoy the same status as other PRC registered companies in business-to-business dispute resolutions. The PRC legal infrastructure, however, is significantly different in operation from its United States counterpart, and may present a significant impediment to the operation of a foreign invested enterprise.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You may experience difficulties in effecting service of legal process, enforcing foreign judgments or bringing original actions in the PRC against our company or our management based on U.S. or other foreign laws.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operating subsidiary, Helpson, is incorporated under the laws of the PRC and substantially all of our assets are located in the PRC. Additionally, substantially all of our directors, executive officers and managers reside within the PRC, and substantially all assets of these persons are located within the PRC. As a result, it may not be possible to effect service of process within the United States or elsewhere outside the PRC upon certain of our directors, executive officers or managers, including with respect to matters arising under U.S. federal securities laws or applicable state securities laws. Moreover, the PRC does not have treaties providing for the reciprocal recognition and enforcement of judgments of courts with the United States, and many other countries. As a result, recognition and enforcement in the PRC of judgments of a court in the United States and any of the other jurisdictions in relation to any matter may be difficult or impossible. Furthermore, an original action may be brought in the PRC against us, our directors, executive officers or managers only if the actions are not required to be arbitrated by PRC law under Helpson’s articles of association, and only if the facts alleged in the complaint give rise to a cause of action under PRC law. In connection with any such original action, a PRC court may impose civil liability, including monetary damages.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As a Foreign Invested Company in China, Helpson’s ownership structure may be impacted by the foreign investment regulation and its measures in China.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accordance with Decree No. 723 of the State Council of the People’s Republic of China issued on December 26, 2019, the Regulations on the Implementation of the Foreign Investment Law of the People’s Republic of China came into force on January 1, 2020. On December 28, 2020, the National Development and Reform Commission and the Ministry of Commerce publicly released the Directory of Industries to Encourage Foreign Investment (Encouraged Catalogue) (2020 Edition). On December 27, 2021, the National Development and Reform Commission of China (“NDRC”) and the Ministry of Commerce (“MOFCOM”) jointly issued the Special Administrative Measures for Foreign Investment Access (Negative List) (2021 Edition), and the Special Administrative Measures for Foreign Investment Access in Pilot Free Trade Zones (Negative List) (2021 Edition), effective January 1, 2022. As per these policies, the national negative list of foreign investment access was reduced from 33 to 31, and the negative list of foreign investment access in the FTZ was reduced from 30 to 27. Industries listed in the 2020 Encouraged Catalogue are the encouraged industries. On the other hand, industries listed in the 2021 Negative List are subject to special management measures. For example, establishment of wholly foreign-owned enterprises is generally allowed in industries outside of the 2021 Negative List. Also, foreign investors are not allowed to invest in industries that are expressly prohibited in the 2021 Negative List. The industries that are not expressly prohibited in the Negative List are still subject to government approvals and certain special requirements.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majority of pharmaceutical manufacturing industry including the segments under which the Company conducts its business is not included in the 2021 Negative List. Helpson manufactures and markets generic and branded pharmaceutical products as well as biochemical products primarily to hospitals and private retailers located throughout the PRC. The Company believes Helpson’s business is not subject to any ownership restrictions prescribed under the Catalogue. Onny acquired 100% of the ownership in Helpson on May 25, 2005, by entering into an Equity Transfer Agreement with Helpson’s three former shareholders. The transaction was approved by the Commercial Bureau of Hainan Province on June 12, 2005 and Helpson received the Certificate of Approval for Establishment of Enterprises with Foreign Investment in the PRC on the same day. Helpson received its business license evidencing its WFOE (Wholly Foreign Owned Enterprise) status on June 21, 2005. However, in the event the 2021 Negative List is amended in the future to include any of the business Helpson is operating, our ownership structure could be subject to change to the extent our structure is not given any “grandfather” protection.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Because we receive substantially all of our revenue in Renminbi, which currently is not a freely convertible currency, and the PRC government controls the currency conversion and the fluctuation of the Renminbi, we are subject to changes in the PRC’s political and economic decisions.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receive substantially all of our revenues in Renminbi, which currently is not a freely-convertible currency. The PRC government may, at its discretion, restrict access in the future to foreign currencies for current account transactions. Any future restrictions on currency exchanges may limit our ability to use revenue generated in Renminbi to fund any future business activities outside China or to make dividend or other payments in U.S. dollars. Although the Chinese government introduced regulations in 1996 to allow greater convertibility of the Renminbi for current account transactions, significant restrictions still remain, including primarily the restriction that foreign-invested enterprises may only buy, sell or remit foreign currencies, after providing valid commercial documents, at those banks authorized to conduct foreign exchange business. In addition, conversion of Renminbi for capital account items, including direct investment and loans, is subject to governmental approval in China, and companies are required to open and maintain separate foreign exchange accounts for capital account items.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cannot be certain that the Chinese regulatory authorities will not impose more stringent restrictions on the convertibility of the Renminbi, especially with respect to foreign exchange transactions.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Fluctuation in the value of the Renminbi may have a material and adverse effect on your investment. The change in value of the Renminbi against the U.S. dollar is affected by, among other things, changes in PRC’s political and economic conditions. From 1995 until July 2005, the People’s Bank of China intervened in the foreign exchange market to maintain an exchange rate of approximately Renminbi 8.3 per U.S. dollar. On July 21, 2005, the PRC government changed this policy and began allowing modest appreciation of the Renminbi versus the U.S. dollar. Under the new policy, the Renminbi was permitted to fluctuate within a narrow and managed band against a basket of certain foreign currencies. This change in policy caused the Renminbi to appreciate approximately 21.5% against the U.S. dollar over the following three years. As a consequence, the Renminbi has fluctuated sharply since July 2008 against other freely traded currencies, in tandem with the U.S. dollar. It is difficult to predict how long the current situation may last and when and how it may change again. There is significant international pressure on the PRC government to adopt a substantial liberalization of its currency policy, which could result in a further and more significant appreciation in the value of the Renminbi against the U.S. dollar. Significant revaluation of the Renminbi may have a material adverse effect on your investment. For example, to the extent that we need to convert U.S. dollars we receive from securities offering into Renminbi for our operations, appreciation of the Renminbi against the U.S. dollar would have an adverse effect on the Renminbi amount we would receive from the conversion. Conversely, if we decide to convert our Renminbi into U.S. dollars for the purpose of making payments for dividends on our common stock or for other business purposes, appreciation of the U.S. dollar against the Renminbi would have a negative effect on the U.S. dollar amount available to us. In August 2015, the PRC Government devalued its currency by approximately 3%, represented the largest yuan depreciation for 20 years. Concerns remain that China’s slowing economy, and in particular its exports, will need a stimulus that can only come from further cuts in the exchange rate.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appreciation or depreciation in the value of the Renminbi relative to the U.S. dollar would affect our financial results reported in U.S. dollar terms without giving effect to any underlying change in our business or results of operations. The income statements of our operations are translated into U.S. dollars at the average exchange rates in each applicable period. To the extent the U.S. dollar strengthens against foreign currencies, the translation of these foreign currencies denominated transactions results in reduced revenue, operating expenses and net income for our international operations. Similarly, to the extent the U.S. dollar weakens against foreign currencies, the translation of these foreign currency denominated transactions results in increased revenue, operating expenses and net income for our international operations. We are also exposed to foreign exchange rate fluctuations as we convert the financial statements of our foreign subsidiaries into U.S. dollars in consolidation. If there is a change in foreign currency exchange rates, the conversion of the foreign subsidiaries’ financial statements into U.S. dollars will lead to a translation gain or loss, which is recorded as a component of other comprehensive income. Very limited hedging transactions are available in China to reduce our exposure to exchange rate fluctuations. To date, we have not entered into any hedging transactions. While we may enter into hedging transactions in the future, the availability and effectiveness of these transactions may be limited, and we may not be able to successfully hedge our exposure at all.</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are subject to the environmental protection laws of the PRC that may be costly to comply with and may adversely affect our manufacturing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manufacturing process may produce by-products, such as effluent, gases and noise, which are harmful to the environment. We are subject to multiple laws governing environmental protection, such as “The Law on Environmental Protection in the PRC” and “The Law on Prevention of Effluent Pollution in the PRC,” as well as standards set by the relevant governmental bodies determining the classification of different wastes and proper disposal. We have properly attained a waste disposal permit for our manufacturing facility, which details the types and concentration of effluents and gases allowed for disposal. We are responsible for periodically renewing this waste disposal permit. There is no assurance that we will obtain a renewal of the waste disposal permit when the current permit expires in February 2028.</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is experiencing substantial environmental pollution. Accordingly, it is likely that the national, provincial and local governmental agencies will adopt stricter pollution controls. There is no guarantee that future changes in environmental laws and regulations will not impose costly compliance requirements on us or otherwise subject us to future liabilities. Our business’s profitability may be adversely affected if additional or modified environmental control regulations are imposed upon us.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Failure to comply with PRC regulations regarding the registration requirements for employee equity incentive plans may subject our PRC citizen employees or us to fines and other legal or administrative sanctions.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28, 2007, the SAFE promulgated the Application Procedure of Foreign Exchange Administration for Domestic Individuals Participating in Employee Stock Holding Plan or Share Option Plan of Overseas-Listed Company, which were superseded by Notice from SAFE regarding Issues related to Domestic Individual Participating Offshore Public Company Equity Incentive Plan promulgated on February 15, 2012 (“SAFE #7”), or the Share Option Rule. Under the Share Option Rule, PRC citizens who are granted stock options or other employee equity incentive awards by an overseas publicly-listed company are required, through a PRC agent who may be a PRC subsidiary of such overseas publicly-listed company, to register with the SAFE and complete certain other procedures related to the share options or other employee equity incentive plans. We and our PRC citizen employees who are granted share options or other equity incentive awards under our 2010 Long-Term Incentive Plan, or PRC optionees, are subject to the Share Option Rule. If we or our PRC optionees fail to comply with these regulations, we or our PRC optionees may be subject to fines and legal sanctions.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U.S. regulatory bodies may be limited in their ability to conduct investigations or inspections of our operations in China.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Any disclosure of documents or information located in China by foreign agencies may be subject to jurisdiction constraints and must comply with China’s state secrecy laws, which broadly define the scope of “state secrets” to include matters involving economic interests and technologies. There is no guarantee that requests from U.S. federal or state regulators or agencies to investigate or inspect our operations will be honored by us, by entities who provide services to us or with whom we associate, without violating PRC legal requirements, especially as those entities are located in China. Furthermore, under the current PRC laws, an on-site inspection of our facilities by any of these regulators may be limited or prohibited.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PRC regulation of loans to and direct investment in PRC entities by offshore holding companies and governmental control of currency conversion may delay us from using the proceeds of this offering to make loans or additional capital contributions to our PRC subsidiaries, which could materially and adversely affect our liquidity and our ability to fund and expand our business.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Any funds the Company transfer to our PRC subsidiaries, either as a shareholder loan or as an increase in registered capital, are subject to approval by or registration with relevant governmental authorities in China. According to the relevant PRC regulations on foreign-invested enterprises, or FIEs, in China, capital contributions to our PRC subsidiaries are subject to the approval of or filing with the Ministry of Commerce, or MOFCOM or its local branches and registration with a local bank authorized by the State Administration of Foreign Exchange, or SAFE. In addition, (i) a foreign loan of less one year duration procured by our PRC subsidiaries is required to be registered with SAFE or its local branches and (ii) a foreign loan of one year duration or more procured by our PRC subsidiaries is required to be applied to the NDRC in advance for undergoing recordation registration formalities. Any medium or long-term loan to be provided by us to our PRC operating subsidiaries, must be registered with the NDRC and the SAFE or its local branches. The Company may not be able to complete such registrations on a timely basis, with respect to future capital contributions or foreign loans by us to our PRC Subsidiary. If the Company fail to complete such registrations, our ability to use the proceeds of this offering and to capitalize our PRC operations may be negatively affected, which could adversely affect our liquidity and our ability to fund and expand our business.</w:t>
      </w:r>
    </w:p>
    <w:p>
      <w:pPr>
        <w:spacing w:before="0" w:after="0"/>
        <w:ind w:left="0" w:right="0" w:firstLine="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30, 2015, the SAFE promulgated the Circular on Reforming the Management Approach Regarding the Foreign Exchange Capital Settlement of Foreign-Invested Enterprises, or SAFE Circular 19, which took effect as of June 1, 2015. SAFE Circular 19 launched a nationwide reform of the administration of the settlement of the foreign exchange capitals of FIEs and allows FIEs to settle their foreign exchange capital at their discretion, but continues to prohibit FIEs from using the Renminbi fund converted from their foreign exchange capital for expenditure beyond their business scopes, providing entrusted loans or repaying loans between nonfinancial enterprises. The SAFE issued the Circular on Reforming and Regulating Policies on the Control over Foreign Exchange Settlement of Capital Accounts, or SAFE Circular 16, effective in June 2016. Pursuant to SAFE Circular 16, enterprises registered in China may also convert their foreign debts from foreign currency to Renminbi on a self-discretionary basis. SAFE Circular 16 provides an integrated standard for conversion of foreign exchange under capital account items (including but not limited to foreign currency capital and foreign debts) on a self-discretionary basis which applies to all enterprises registered in China. SAFE Circular 16 reiterates the principle that Renminbi converted from foreign currency-denominated capital of a company may not be directly or indirectly used for purposes beyond its business scope or prohibited by PRC laws or regulations, while such converted Renminbi shall not be provided as loans to its non-affiliated entities. As this circular is relatively new, there remains uncertainty as to its interpretation and application and any other future foreign exchange related rules. Violations of these Circulars could result in severe monetary or other penalties. SAFE Circular 19 and SAFE Circular 16 may significantly limit our ability to transfer any foreign currency we hold, including the net proceeds from this offering, to our WFOE, which may adversely affect our liquidity and our ability to fund and expand our business in China.</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October 23, 2019, the SAFE issued the Circular on Further Promoting Cross-border Trade and Investment Facilitation (the “SAFE Circular 28”), which took effect on the same day. The SAFE Circular 28, subject to certain conditions, allows foreign-invested enterprises whose business scope does not include investment, or non-investment foreign-invested enterprises, to use their capital funds to make equity investments in China. It is also implemented in practice.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light of the various requirements imposed by PRC regulations on loans to and direct investment in PRC entities by offshore holding companies, we cannot assure you that we will be able to complete the necessary government registrations or obtain the necessary government approvals on a timely basis, if at all, with respect to future loans to our PRC Subsidiaries or future capital contributions by us to our WFOE in China. As a result, uncertainties exist as to our ability to provide prompt financial support to our PRC Subsidiaries when needed. If we fail to complete such registrations or obtain such approvals, our ability to use the proceeds we expect to receive from this offering and to capitalize or otherwise fund our PRC operations may be negatively affected, which could materially and adversely affect our liquidity and our ability to fund and expand our business.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Compliance with China’s new Data Security Law, Measures on Cybersecurity Review, Personal Information Protection Law (second draft for consultation), regulations and guidelines relating to the multi-level protection scheme and any other future laws and regulations may entail significant expenses and could materially affect our business.</w:t>
      </w: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has implemented or will implement rules and is considering a number of additional proposals relating to data protection. China’s new Data Security Law took effect in September 2021. The Data Security Law provides that the data processing activities must be conducted based on “data classification and hierarchical protection system” for the purpose of data protection and prohibits entities in China from transferring data stored in China to foreign law enforcement agencies or judicial authorities without prior approval by the Chinese government.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Additionally, China’s Cyber Security Law requires companies to take certain organizational, technical and administrative measures and other necessary measures to ensure the security of their networks and data stored on their networks. Specifically, the Cyber Security Law provides that China adopt a multi-level protection scheme (MLPS), under which network operators are required to perform obligations of security protection to ensure that the network is free from interference, disruption or unauthorized access, and prevent network data from being disclosed, stolen or tampered. Under the MLPS, entities operating information systems must have a thorough assessment of the risks and the conditions of their information and network systems to determine the level to which the entity’s information and network systems belong-from the lowest Level 1 to the highest Level 5 pursuant to a series of national standards on the grading and implementation of the classified protection of cyber security. The grading result will determine the set of security protection obligations that entities must comply with. Entities classified as Level 2 or above should report the grade to the relevant government authority for examination and approval. The Company’s management believes that they are currently classified as Level 1.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Recently, the Cyberspace Administration of China has taken action against several Chinese internet companies in connection with their initial public offerings on U.S. securities exchanges, for alleged national security risks and improper collection and use of the personal information of Chinese data subjects. According to the official announcement, the action was initiated based on the National Security Law, the Cyber Security Law and the Measures on Cybersecurity Review, which are aimed at “preventing national data security risks, maintaining national security and safeguarding public interests.”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It is unclear at the present time how widespread the cybersecurity review requirement and the enforcement action will be and what effect they will have on our business. China’s regulators may impose penalties for non-compliance ranging from fines or suspension of operations, and this could lead to us delisting from the U.S. stock market.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Also, recently, the National People’s Congress released the Personal Information Protection Law (the “PIPL”), which became effective on November 1, 2021. The PIPL creates a comprehensive set of data privacy and protection requirements that apply to the processing of personal information and expands data protection compliance obligations to cover the processing of personal information of persons by organizations and individuals in China, and the processing of personal information of persons in China outside of China if such processing is for purposes of providing products and services to, or analyzing and evaluating the behavior of, persons in China. The PIPL also provides that critical information infrastructure operators and personal information processing entities who process personal information meeting a volume threshold to-be-set by Chinese cyberspace regulators are also required to store in China personal information generated or collected in China, and to pass a security assessment administered by Chinese cyberspace regulators for any export of such personal information. Lastly, the PIPL provides significant fines for serious violations of up to RMB 50 million or 5% of annual revenues from the prior year and may also be ordered to suspend any related activity by competent authorities.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December 28, 2021, the CAC, and other twelve PRC regulatory authorities jointly revised and promulgated </w:t>
      </w:r>
      <w:r>
        <w:rPr>
          <w:rFonts w:ascii="Times New Roman" w:eastAsia="Times New Roman" w:hAnsi="Times New Roman" w:cs="Times New Roman"/>
          <w:b w:val="0"/>
          <w:bCs w:val="0"/>
          <w:i/>
          <w:iCs/>
          <w:smallCaps w:val="0"/>
          <w:sz w:val="20"/>
          <w:szCs w:val="20"/>
        </w:rPr>
        <w:t>the Measures for Cyber Security Review</w:t>
      </w:r>
      <w:r>
        <w:rPr>
          <w:rFonts w:ascii="Times New Roman" w:eastAsia="Times New Roman" w:hAnsi="Times New Roman" w:cs="Times New Roman"/>
          <w:b w:val="0"/>
          <w:bCs w:val="0"/>
          <w:i w:val="0"/>
          <w:iCs w:val="0"/>
          <w:smallCaps w:val="0"/>
          <w:sz w:val="20"/>
          <w:szCs w:val="20"/>
        </w:rPr>
        <w:t>, or the New Measures for Cyber Security Review, which came into effect on February 15, 2022 and replace the prior Measures for Cyber Security Review promulgated on April 13, 2020. The New Measures for Cyber Security Review provides that, among others, (i) the purchase of cyber products and services by critical information infrastructure operators and the network platform operators engaging in data processing activities that affects or may affect national security should be subject to the cybersecurity review by the Cybersecurity Review Office, the department which is responsible for the implementation of cybersecurity review under the CAC; (ii) network platform operators with personal information data of more than one million users are obliged to apply for a cybersecurity review by the Cybersecurity Review Office before listing abroad; and (iii) relevant governmental authorities in the PRC may initiate cybersecurity review if they determine the relevant network products or services or data processing activities affect or may affect national security.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believe that we are not subject to cybersecurity review, since we (i) are not network platform operators engaging in data processing activities that affect or may affect national security; (ii) are not critical information infrastructure operators purchasing cyber products or services that affect or may affect national security; (iii) are not network platform operators with personal information data of more than one million users and do not need to obtain any permission or approval from the CAC in accordance with the New Measures for Cyber Security Review. However, as PRC governmental authorities have significant discretion in interpreting and implementing statutory provisions and there remains significant uncertainty in the interpretation and enforcement of relevant PRC cybersecurity laws and regulations, we cannot guarantee the PRC government will have the same analysis and application of law as we expect.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November 2021, the CAC released the Measures of Regulations on the Network Data Security Administration (Draft for Comments), or the Draft Regulations on Network Data Security. The Draft Regulations on Network Data Security define “data processors” as individuals or organizations that can make autonomous decisions regarding the purpose and the manner of their data processing activities such as data collection, storage, utilization, transmission, publication and deletion. In accordance with the Draft Regulations on Network Data Security, data processors shall apply for a cybersecurity review for certain activities, including, among other things, (i) the listing abroad of data processors that process the personal information of more than one million users; (ii) merger, reorganization or division of internet platform operators that have acquired a large number of data resources related to national security, economic development or public interests affects or may affect national security; (iii) listing in Hong Kong which affects or may affect national security; or (iv) any data processing activity that affects or may affect national security. However, there have been no clarifications from the relevant authorities as of the date of this annual report as to the standards for determining whether an activity is one that “affects or may affect national security.” In addition, the Draft Regulations on Network Data Security requires that data processors that process “important data” or are listed overseas must conduct an annual data security assessment by itself or authorize a data security service provider to do so, and submit the assessment report of the preceding year to the municipal cybersecurity department by the end of January each year. As of the date of this annual report, the Draft Regulations on Network Data Security has not been formally adopted, and their respective provisions and anticipated adoption or effective date may be subject to change with substantial uncertainty.</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Many of the data- and data privacy-related laws and regulations are relatively new and certain concepts thereunder remain subject to interpretation by the regulators. If any data that we possess belongs to data categories that are or may become subject to heightened scrutiny, we may be required to adopt stricter measures for protection and management of such data. The Cybersecurity Review Measures and the Draft Regulations on Network Data Security remain unclear on whether the relevant requirements will be applicable to companies that, like us, are already listed in the United States. We cannot predict the impact of the Cybersecurity Review Measures and the Draft Regulations on Network Data Security, if any, at this stage, and we will closely monitor and assess any developments in the rule-making process. If the Cybersecurity Review Measures and the enacted version of the Draft Regulations on Network Data Security mandate clearance of cybersecurity review and other specific actions to be taken by issuers like us, we may face uncertainties as to whether these additional procedures can be completed by us timely, or at all, which may subject us to government enforcement actions and investigations, fines, penalties, suspension of our non-compliant operations, or removal of our app from the relevant application stores, and materially and adversely affect our business and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general, compliance with the existing PRC laws and regulations, as well as additional laws and regulations that PRC legislative and regulatory bodies may enact in the future, related to cybersecurity, data security and personal information protection, may be costly and result in additional expenses to us, and subject us to negative publicity, which could harm our reputation and business operations. There are also uncertainties with respect to how such laws and regulations will be implemented and interpreted in practice. In light of the fact that laws and regulations on cybersecurity, data privacy and personal information protection are evolving and uncertainty remains with respect to their interpretation and implementation, we cannot guarantee that we will be able to maintain full compliance at all times, or that our existing user information protection system and technical measures will be considered sufficient. Any non-compliance or perceived non-compliance with these laws, regulations or policies may lead to warnings, fines, investigations, lawsuits, confiscation of illegal gains, revocation of licenses, cancelation of filings or listings, closedown of websites, removal of apps and suspension of downloads, price drops in our securities or even criminal liabilities against us by government agencies or other individuals.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Certain PRC regulations may make it more difficult for us to pursue growth through acquisitions.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Anti-Monopoly Law of the People’s Republic of China promulgated by the Standing Committee of the National People’s Congress, which became effective in 2008 and amended in 2022 (“Anti-Monopoly Law”), established additional procedures and requirements that could make merger and acquisition activities by foreign investors more time-consuming and complex. Such regulation requires, among other things, that State Administration for Market Regulation (“SAMR”) be notified in advance of any change-of-control transaction in which a foreign investor acquires control of a PRC domestic enterprise or a foreign company with substantial PRC operations, if certain thresholds under the Provisions of the State Council on the Standard for Declaration of Concentration of Business Operators, issued by the State Council in 2008 and amended in 2018, are triggered. Moreover, the Anti-Monopoly Law requires that transactions which involve the national security, the examination on the national security shall also be conducted according to the relevant provisions of the State. In addition, PRC Measures for the Security Review of Foreign Investment which became effective in January 2021 require acquisitions by foreign investors of PRC companies engaged in military-related or certain other industries that are crucial to national security be subject to security review before consummation of any such acquisition. We may pursue potential strategic acquisitions that are complementary to our business and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Complying with the requirements of these regulations to complete such transactions could be time-consuming, and any required approval processes, including obtaining approval or clearance from the MOFCOM, may delay or inhibit our ability to complete such transactions, which could affect our ability to expand our business or maintain our market share.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are not required to submit an application to CSRC pursuant to the M&amp;A Rules, nor are we subject to the cybersecurity review. However, based on the recent promulgation of the Trial Measures, which became effective on March 31, 2023, we may be required to complete the filing requirements when we have re-financing or any additional offerings in future.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Regulations on Mergers and Acquisitions of Domestic Companies by Foreign Investors, or the M&amp;A Rules, adopted by six PRC regulatory agencies in 2006 and amended in 2009, require an overseas special purpose vehicle formed for listing purposes through acquisitions of PRC domestic companies and controlled by PRC companies or individuals to obtain the approval of the CSRC prior to the listing and trading of such special purpose vehicle’s securities on an overseas stock exchange. In September 2006, the CSRC published a notice on its official website specifying documents and materials required to be submitted to it by a special purpose vehicle seeking CSRC approval of its overseas listings. However, substantial uncertainty remains regarding the scope and applicability of the M&amp;A Rules to offshore special purpose vehicles. Currently, there is no consensus among leading PRC law firms regarding the scope and applicability of the CSRC approval requirement.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Based on our understanding of the Chinese laws and regulations in effect at the time of this annual report, we will not be required to submit an application to the CSRC for its approval of an offering in a foreseeable future and the listing and trading of our common stock on NYSE American. However, there remains some uncertainty as to how the M&amp;A Rules will be interpreted or implemented in the context of an overseas offering and our belief is subject to any new laws, rules and regulations or detailed implementations and interpretations in any form relating to the M&amp;A Rules or overseas offering approval. We cannot assure you that relevant PRC governmental agencies, including the CSRC, would reach the same conclusion as we do.</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Recently, the General Office of the Central Committee of the Communist Party of China and the General Office of the State Council jointly issued the “Opinions on Severely Cracking Down on Illegal Securities Activities According to Law,” or the Opinions, which was made available to the public on July 6, 2021. The Opinions emphasized the need to strengthen the administration over illegal securities activities, and the need to strengthen the supervision over overseas listings by Chinese companies. Effective measures, such as promoting the construction of relevant regulatory systems will be taken to deal with the risks and incidents of China-concept overseas listed companies, and cybersecurity and data privacy protection requirements and similar matters.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24, 2021, the China Securities Regulatory Commission, or the “CSRC”, published draft regulations (the “Draft Rules”) on domestic enterprises issuing securities and being listed overseas. The Draft Rules lay out specific filing requirements for overseas listing and offering by PRC domestic companies and include unified regulation management and strengthening regulatory coordination. On February 17, 2023, the CSRC promulgated the Trial Administrative Measures of Overseas Securities Offering and Listing by Domestic Companies (the “Trial Measures”), which became effective on March 31, 2023. The Trial Measures supersede the Draft Rules and clarified and emphasized several aspects, which include but are not limited to: (1) criteria to determine whether an issuer will be required to go through the filing procedures under the Trial Measures; (2) exemptions from immediate filing requirements for issuers including those that have already been listed or registered but not yet listed in foreign securities markets, including U.S. markets, prior to the effective date of the Trial Measures; (3) a negative list of types of issuers banned from listing or offering overseas, such as issuers whose affiliates have been recently convicted of bribery and corruption; (4) issuers’ compliance with web security, data security, and other national security laws and regulations; (5) issuers’ filing and reporting obligations, such as obligation to file with the CSRC after it submits an application for initial public offering to overseas regulators, and obligation after offering or listing overseas to report to the CSRC material events including change of control or voluntary or forced delisting of the issuer; and (6) the CSRC’s authority to fine both issuers and their shareholders for failure to comply with the Trial Measures, including failure to comply with filing obligations or committing fraud and misrepresentation. Because we are already publicly listed in the U.S., the Trial Measures do not impose additional regulatory burden on us beyond the obligation to report to the CSRC any future offerings of our securities, or material events such as a change of control or delisting. Despite of the foregoing, we cannot assure you if we will be able to complete the filing procedure in a timely fashion when we are required to do so for any offerings in the future.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Restrictions contained in Chinese law on the ability of overseas securities regulators to collect information in China may deny investors in our Company the benefits of U.S. securities regulation.</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has often restricted U.S. regulators’ access to information and limited regulators’ ability to investigate or pursue remedies with respect to China-based issuers, generally citing to state secrecy and national security laws, blocking statutes, or other laws or regulations. Any disclosure of documents or information located in China by foreign agencies may be subject to jurisdiction constraints and must comply with China’s state secrecy laws, which broadly define the scope of “state secrets” to include matters involving economic interests and technologies. In addition, according to Article 177 of the PRC Securities Law (“Article 177”), which became effective in March 2020, no overseas securities regulator can directly conduct investigations or evidence collection activities within the PRC and no entity or individual in China may provide documents and information relating to securities business activities to overseas regulators without Chinese government approval. There is no guarantee that requests from U.S. federal or state regulators or agencies to investigate or inspect our operations will be honored, by entities who provide services to us or with whom we associate, without violating PRC legal requirements, especially as those entities are located in China. The SEC, U.S. Department of Justice, and other U.S. authorities face substantial challenges in bringing and enforcing actions against China-based issuers and their officers and directors. As a result, investors in the Company may not benefit from a regulatory environment that fosters effective enforcement of U.S. federal securities laws.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Article 177 and the PRC Securities Law are newly promulgated, there are uncertainties as to the procedures and requisite timing for the U.S. securities regulatory agencies to conduct investigations and collect evidence within the territory of the PRC. If the U.S. securities regulatory agencies are unable to conduct such investigations, there exists a risk that they may determine to suspend or de-register our registration with the SEC and may also delist our securities from NYSE American exchange or other applicable trading market within the US.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Holding Foreign Companies Accountable Act, or the HFCAA, and the related regulations continue to evolve. Further implementations and interpretations of or amendments to the HFCAA or the related regulations, or a PCAOB determination of its lack of sufficient access to inspect our auditor, might pose regulatory risks to and impose restrictions on us because of our operations in mainland China.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May 20, 2020, the U.S. Senate passed the Holding Foreign Companies Accountable Act (the “HFCAA”) requiring a foreign company to certify it is not owned or controlled by a foreign government if the PCAOB is unable to audit specified reports because the Company uses a foreign auditor not subject to PCAOB inspection. If the PCAOB is unable to inspect the Company’s auditors for three consecutive years, the issuer’s securities are prohibited to trade on a national securities exchange or in the over the counter trading market in the U.S. On December 18, 2020, the HFCAA was signed into law. The HFCAA has since then been subject to amendments by the U.S. Congress and interpretations and rulemaking by the SEC.</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22, 2021, the U.S. Senate passed the Accelerating Holding Foreign Companies Accountable Act (“AHFCAA”), which proposes to reduce the period of time for foreign companies to comply with PCAOB audits from three to two consecutive years, thus reducing the time period before the securities of such foreign companies may be prohibited from trading or delisted. On December 29, 2022, the Consolidated Appropriations Act, 2023 (the “CAA”), which AHFCAA constituted a part, was signed into law, which officially reduced the number of consecutive non-inspection years required for triggering the prohibitions under the HFCAA from three years to two, thus, reducing the time before an applicable issuer’s securities may be prohibited from trading or delisted.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16, 2021, PCAOB announced the PCAOB HFCAA determinations relating to the PCAOB’s inability to inspect or investigate completely registered public accounting firms headquartered in mainland China of the PRC or Hong Kong, a Special Administrative Region and dependency of the PRC, because of a position taken by one or more authorities in the PRC or Hong Kong. The inability of the PCAOB to conduct inspections of auditors in China made it more difficult to evaluate the effectiveness of these accounting firms’ audit procedures or quality control procedures as compared to auditors outside of China that are subject to the PCAOB inspections, which could cause existing and potential investors in issuers operating in China to lose confidence in such issuers’ procedures and reported financial information and the quality of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auditor, BF Borgers CPA PC, the independent registered public accounting firm that issues the audit report included elsewhere in this annual report, as an auditor of companies that are traded publicly in the United States and a firm registered with the PCAOB, is subject to laws in the United States pursuant to which the PCAOB conducts regular inspections to assess our auditor’s compliance with the applicable professional standards. Our auditor is headquartered in Colorado, and is subject to inspection by the PCAOB on a regular basis with the last inspection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26, 2022, the PCAOB announced and signed a Statement of Protocol (the “Protocol”) with the China Securities Regulatory Commission and the Ministry of Finance of the People’s Republic of China (together, the “PRC Authorities”). The Protocol provides the PCAOB with: (1) sole discretion to select the firms, audit engagements and potential violations it inspects and investigates, without any involvement of Chinese authorities; (2) procedures for PCAOB inspectors and investigators to view complete audit work papers with all information included and for the PCAOB to retain information as needed; (3) direct access to interview and take testimony from all personnel associated with the audits the PCAOB inspects or investigates.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15, 2022, the PCAOB announced in its 2022 HFCAA Determination Report (the “2022 Report”) its determination that the PCAOB was able to secure complete access to inspect and investigate audit firms in the People’s Republic of China (PRC), and the PCAOB Board voted to vacate previous determinations to the contrary. According to the 2022 Report, this determination was reached after the PCAOB had thoroughly tested compliance with every aspect of the Protocol necessary to determine complete access, including on-site inspections and investigations in a manner fully consistent with the PCAOB’s methodology and approach in the U.S. and globally. According to the 2022 Report, the PRC Authorities had fully assisted and cooperated with the PCAOB in carrying out the inspections and investigations according to the Protocol, and have agreed to continue to assist the PCAOB’s investigations and inspections in the future. The PCAOB may reassess its determinations and issue new determinations consistent with the HFCAA at any time.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While the HFCAA and AHFCAA are not currently applicable to the Company because the Company’s current auditors are subject to PCAOB review, if this changes in the future for any reason, the Company may be subject to the HFCAA and AHFCAA. The implications of this regulation if the Company were to become subject to it are uncertain. Such uncertainty could cause the market price of our common stock to be materially and adversely affected, and our securities could be delisted or prohibited from being traded on NYSE American earlier than would be required by the HFCAA and AHFCAA. If our common stock is unable to be listed on another securities exchange by then, such a delisting would substantially impair your ability to sell or purchase the common stock when you wish to do so, and the risk and uncertainty associated with a potential delisting would have a negative impact on the price of the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PRC regulations relating to the establishment of offshore special purpose companies by PRC residents may subject our PRC resident beneficial owners or our PRC subsidiary to liability or penalties, limit our ability to inject capital into our PRC subsidiary, limit our PRC subsidiary’ ability to increase their registered capital or distribute profits to us, or may otherwise adversely affect us.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July 2014, SAFE promulgated the Circular on Relevant Issues Concerning Foreign Exchange Control on Domestic Residents’ Offshore Investment and Financing and Roundtrip Investment Through Special Purpose Vehicles, or SAFE Circular 37, to replace the Notice on Relevant Issues Concerning Foreign Exchange Administration for Domestic Residents’ Financing and Roundtrip Investment Through Offshore Special Purpose Vehicles, or SAFE Circular 75, which ceased to be effective upon the promulgation of SAFE Circular 37. SAFE Circular 37 requires PRC residents (including PRC individuals and PRC corporate entities) to register with SAFE or its local branches in connection with their direct or indirect offshore investment activities. SAFE Circular 37 is applicable to our stockholders who are PRC residents and may be applicable to any offshore acquisitions that we make in the future.</w:t>
      </w:r>
    </w:p>
    <w:p>
      <w:pPr>
        <w:spacing w:before="0" w:after="0"/>
        <w:ind w:left="0" w:right="0" w:firstLine="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SAFE Circular 37, PRC residents who make, or have prior to the implementation of SAFE Circular 37 made, direct or indirect investments in offshore special purpose vehicles, or SPVs, will be required to register such investments with SAFE or its local branches. In addition, any PRC resident who is a direct or indirect shareholder of an SPV is required to update its filed registration with the local branch of SAFE with respect to that SPV, to reflect any material change. Moreover, any subsidiary of such SPV in China is required to urge the PRC resident shareholders to update their registration with the local branch of SAFE. If any PRC shareholder of such SPV fails to make the required registration or to update the previously filed registration, the subsidiary of such SPV in China may be prohibited from distributing its profits or the proceeds from any capital reduction, share transfer or liquidation to the SPV, and the SPV may also be prohibited from making additional capital contributions into its subsidiary in China. On February 13, 2015, the SAFE promulgated a Notice on Further Simplifying and Improving Foreign Exchange Administration Policy on Direct Investment, or SAFE Notice 13, which became effective on June 1, 2015. Under SAFE Notice 13, applications for foreign exchange registration of inbound foreign direct investments and outbound overseas direct investments, including those required under SAFE Circular 37, will be filed with qualified banks instead of SAFE. The qualified banks will directly examine the applications and accept registrations under the supervision of SAFE.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Some of our shareholders that we are aware of are subject to SAFE regulations, and we expect all of these shareholders will have completed all necessary registrations with the local SAFE branch or qualified banks as required by SAFE Circular 37. We cannot assure you, however, that all of these shareholders may continue to make required filings or updates in a timely manner, or at all. We can provide no assurance that we are or will in the future continue to be informed of identities of all PRC residents holding direct or indirect interest in our company. Any failure or inability by such shareholders to comply with SAFE regulations may subject us to fines or legal sanctions, such as restrictions on our cross-border investment activities or our PRC subsidiaries’ ability to distribute dividends to, or obtain foreign exchange-denominated loans from, our company or prevent us from making distributions or paying dividends. As a result, our business operations and our ability to make distributions to you could be materially and adversely affected.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Furthermore, as these foreign exchange regulations are still relatively new and their interpretation and implementation have been constantly evolving, it is unclear how these regulations, and any future regulation concerning offshore or cross-border transactions, will be interpreted, amended and implemented by the relevant government authorities. For example, we may be subject to a more stringent review and approval process with respect to our foreign exchange activities, such as remittance of dividends and foreign-currency-denominated borrowings, which may adversely affect our financial condition and results of operations. In addition, if we decide to acquire a PRC domestic company, we cannot assure you that we or the owners of such company, as the case may be, will be able to obtain the necessary approvals or complete the necessary filings and registrations required by the foreign exchange regulations. This may restrict our ability to implement our acquisition strategy and could adversely affect our business and prospects.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China-sourced income is subject to PRC withholding tax under the new Enterprise Income Tax Law of the PRC, and we may be subject to PRC enterprise income tax at the rate of 25% when more detailed rules or precedents are promulgated.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The PRC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is calculated based on the taxable income determined under the PRC laws and accounting standards. On March 16, 2007, the National People’s Congress of China enacted a new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Law of the PRC, which became effective on January 1, 2008 and amended the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Law of the PRC on December 29, 2018. On December 6, 2007, the State Council promulgated the Implementation Rules to the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Law of the PRC, or the Implementation Rules, which also became effective on January 1, 2008 and amended the Implementation Rules to the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Law of the PRC on April 23, 2019. On December 26, 2007, the State Council issued the Notice on Implementation of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Transition Preferential Policy under the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Law of the PRC, or the Transition Preferential Policy Circular, which became effective simultaneously with the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Law of the PRC. On October 17, 2017, the State Administration of Taxation promulgated the Announcement of the State Administration of Taxation on Issues Relating to Withholding at Source of Income Tax of Non-resident Enterprises, which became effective on December 1, 2017 and amended Withholding at Source of Income Tax of Non-resident Enterprises on June 15, 2018. The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Law of the PRC imposes a uniform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rate of 25% on all domestic enterprises, including foreign-invested enterprises unless they qualify for certain exceptions, and terminates most of the tax exemptions, reductions and preferential treatments available under previous tax laws and regulations.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Moreover, under the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Law of the PRC, enterprises organized under the laws of jurisdictions outside China with their “de facto management bodies” located within China may be considered PRC resident enterprises and therefore subject to PRC </w:t>
      </w:r>
      <w:r>
        <w:rPr>
          <w:rFonts w:ascii="Times New Roman" w:eastAsia="Times New Roman" w:hAnsi="Times New Roman" w:cs="Times New Roman"/>
          <w:b w:val="0"/>
          <w:bCs w:val="0"/>
          <w:i/>
          <w:iCs/>
          <w:smallCaps w:val="0"/>
          <w:sz w:val="20"/>
          <w:szCs w:val="20"/>
        </w:rPr>
        <w:t>enterprise income tax</w:t>
      </w:r>
      <w:r>
        <w:rPr>
          <w:rFonts w:ascii="Times New Roman" w:eastAsia="Times New Roman" w:hAnsi="Times New Roman" w:cs="Times New Roman"/>
          <w:b w:val="0"/>
          <w:bCs w:val="0"/>
          <w:i w:val="0"/>
          <w:iCs w:val="0"/>
          <w:smallCaps w:val="0"/>
          <w:sz w:val="20"/>
          <w:szCs w:val="20"/>
        </w:rPr>
        <w:t xml:space="preserve"> at the rate of 25% on their worldwide income. The Implementation Rules define the term “de facto management body” as the management body that exercises full and substantial control and overall management over the business, productions, personnel, accounts and properties of an enterprise. In addition, the Circular Related to Relevant Issues on the Identification of a Chinese holding Company Incorporated Overseas as a Residential Enterprise under the Criterion of De Facto Management Bodies Recognizing issued by the State Administration of Taxation on April 22, 2009 provides that a foreign enterprise controlled by a PRC company or a PRC company group will be classified as a “resident enterprise” with its “de facto management bodies” located within China if the following requirements are satisfied: (i) the senior management and core management departments in charge of its daily operations function mainly in China; (ii) its financial and human resources decisions are subject to determination or approval by persons or bodies in China; (iii) its major assets, accounting books, company seals and minutes and files of its board and shareholders’ meetings are located or kept in China; and (iv) more than half of the enterprise’s directors or senior management with voting rights reside in China. Although the circular only applies to offshore enterprises controlled by PRC enterprises and not those controlled by PRC individuals or foreigners, the determining criteria set forth in the circular may reflect the State Administration of Taxation’s general position on how the “de facto management body” test should be applied in determining the tax resident status of offshore enterprises, regardless of whether they are controlled by PRC enterprises, individuals or foreigners. It is uncertain to us as to how it will be implemented and the respective tax base and the tax exposure cannot be determined reliably at this stage. In case we are required to pay the income tax on capital gains by the relevant PRC tax authorities, our financial conditions and results of operations could be adversely affected.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Our ability to distribute dividends are to large extent based on the dividends paid to us by our operating entity in China, and its ability to distribute dividends may be limited by the PRC laws.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we are a holding company with all of business operations conducted in PRC by Helpson, which is our wholly-owned subsidiary, we depend on its dividend issuance to us to pay the dividends to our investors. According to the PRC Company Law and Foreign Investment Law, our PRC subsidiary, as a foreign-invested enterprise, or FIE, we may only pay dividends out of their accumulated profit, if any, as determined in accordance with PRC accounting standards and regulations. In addition we are required to draw 10% of its after-tax profits each year, if any, to fund a common reserve, which may stop drawing its after-tax profits if the aggregate balance of the common reserve has already accounted for over 50% of its registered capital. The reserve funds are not distributable as cash dividends. A PRC company is not permitted to distribute any profits until any losses from prior fiscal years have been offset. Our ability to distribute dividends may be restricted because of the above-mentioned regulations. We may even cannot distribute dividends if we are suffering loss in certain fiscal year in the future. As of the date of this annual report, Helpson plans to retain all the revenues and re-invest them into Helpson’s daily operation. Therefore, the Company does not intend to have any dividend distribution in the future.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Dividends payable by us to our foreign investors and gain on the sale of our shares may become subject to taxes under PRC tax laws.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the new EIT law and its implementation rules, to the extent that we are considered a “resident enterprise” which is “domiciled” in China, PRC income tax at the rate of 10% is applicable to dividends payable by us to investors that are “non-resident enterprises” so long as such “non-resident enterprise” investors do not have an establishment or place of business in China or, despite the existence of such establishment or place of business in China, the relevant income is not effectively connected with such establishment or place of business in China. Similarly, any gain realized on the transfer of our shares by such investors is also subject to a 10% PRC income tax if such gain is regarded as income derived from sources within China and we are considered a “resident enterprise” which is domiciled in China for tax purposes. Additionally, there is a possibility that the relevant PRC tax authorities may take the view that our purpose is that of a holding company, and the capital gain derived by our overseas stockholders would be deemed China-sourced income, in which case such capital gain may be subject to PRC withholding tax at the rate of up to 10%. If we are required under the new EIT law to withhold PRC income tax on our dividends payable to our foreign stockholders who are “non-resident enterprises”, or if you are required to pay PRC income tax on the transfer of our shares under the circumstances mentioned above, the value of your investment in our shares may be materially and adversely affected.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face uncertainty with respect to indirect transfers of equity interests in PRC resident enterprises by their non-PRC holding companies.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3, 2015, the SAT issued the Public Notice Regarding Certain Corporate Income Tax Matters on Indirect Transfer of Properties by Non-Tax Resident Enterprises, or SAT Bulletin 7. SAT Bulletin 7 extends its tax jurisdiction to transactions involving the transfer of taxable assets through offshore transfer of a foreign intermediate holding company. In addition, SAT Bulletin 7 has introduced safe harbors for internal group restructurings and the purchase and sale of equity through a public securities market. SAT Bulletin 7 also brings challenges to both foreign transferor and transferee (or other person who is obligated to pay for the transfer) of taxable assets, as such persons need to determine whether their transactions are subject to these rules and whether any withholding obligation applies.</w:t>
      </w:r>
    </w:p>
    <w:p>
      <w:pPr>
        <w:spacing w:before="0" w:after="0"/>
        <w:ind w:left="0" w:right="0" w:firstLine="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October 17, 2017, the SAT issued the Announcement of the State Administration of Taxation on Issues Concerning the Withholding of Non-resident Enterprise Income Tax at Source, or SAT Bulletin 37, which came into effect on December 1, 2017. The SAT Bulletin 37 further clarifies the practice and procedure of the withholding of non-resident enterprise income tax.</w:t>
      </w:r>
    </w:p>
    <w:p>
      <w:pPr>
        <w:spacing w:before="0" w:after="0"/>
        <w:ind w:left="0" w:right="0" w:firstLine="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Where a non-resident enterprise transfers taxable assets indirectly by disposing of the equity interests of an overseas holding company, which is an “Indirect Transfer”, the non-resident enterprise as either transferor or transferee, or the PRC entity that directly owns the taxable assets, may report such Indirect Transfer to the relevant tax authority. Using a “substance over form” principle, the PRC tax authority may disregard the existence of the overseas holding company if it lacks a reasonable commercial purpose and was established for the purpose of reducing, avoiding or deferring PRC tax. As a result, gains derived from such Indirect Transfer may be subject to PRC enterprise income tax, and the transferee or other person who pays for the transfer is obligated to withhold the applicable taxes currently at a rate of 10% for the transfer of equity interests in a PRC resident enterprise. Both the transferor and the transferee may be subject to penalties under PRC tax laws if the transferee fails to withhold the taxes and the transferor fails to pay the taxes.</w:t>
      </w:r>
    </w:p>
    <w:p>
      <w:pPr>
        <w:spacing w:before="0" w:after="0"/>
        <w:ind w:left="0" w:right="0" w:firstLine="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face uncertainties as to the reporting and other implications of certain past and future transactions where PRC taxable assets are involved, such as offshore restructuring, sale of the shares in our offshore subsidiaries and investments. Our company may be subject to filing obligations or taxed if our company is transferor in such transactions, and may be subject to withholding obligations if our company is transferee in such transactions, under SAT Bulletin 7 and/or SAT Bulletin 37. For transfer of shares in our company by investors who are non-PRC resident enterprises, our PRC subsidiaries may be requested to assist in the filing under SAT Bulletin 7 and/or SAT Bulletin 37. As a result, we may be required to expend valuable resources to comply with SAT Bulletin 7 and/or SAT Bulletin 37 or to request the relevant transferors from whom we purchase taxable assets to comply with these circulars, or to establish that our company should not be taxed under these circulars, which may have a material adverse effect on our financial condition and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Risks Related to our Common Stock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be held in default on our convertible note, which could trigger penalties that worsen our financial condition and potentially disqualify us from listing on the stock exchange where we are currently listed.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17, 2021, we entered into a Securities Purchase Agreement pursuant to which we issued an unsecured convertible promissory note (the “Convertible Note”) to an institutional accredited investor Streeterville Capital, LLC (“Streeterville”). The Convertible Note, as amended, is due on May 19, 2024. The parties may negotiate in extending the Convertible Note. There can be no assurances that these negotiations will proceed or be successful. The Convertible Note has a principal balance of $1,423,474.27 as of December 31,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Although no event of default has occurred as of the date herein, pursuant to the terms of the Convertible Note and its amendment dated April 13, 2023, upon our failure to pay back the Convertible Note upon due, Streeterville can, at its sole discretion, send us a notice which turns this into an Event of Default (“Event of Default”), which would give us 10 days to cure. As of the date herein, Streeterville has not sent such a notice and therefore no Event of Default has occurred. If an Event of Default occurs and is not cured within the 10-day notice period, pursuant to the terms of the Convertible Note Streeterville can impose additional interest payments and other penalties upon us.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Such penalties, as well as other similar penalties that could be imposed upon us as a result of our ongoing negotiations to extend the Convertible Note, if and when imposed by Streeterville, could worsen our financial conditions by consuming or tying up our cash reserve, cash flow, and assets, as well as dilute our existing shareholders if Streeterville initiates conversion of some or part of the Convertible Note into our equity securities. Thus, such penalties could generally and negatively impact the operation of our business and the public trading price of our common stock. Particularly, it could cause the values of our shareholder’s equity and market capitalization to decline further. As a result of such decline, we may become unable to satisfy the continuous listing standards of the stock exchange where we are currently listed, which would further negatively impact the operation of our business and the public trading price of our common stock.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 market price for our common stock may be volatile which could result in a complete loss of your investment.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market price for our common stock is highly volatile and subject to wide fluctuations in response to factors including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actual or anticipated fluctuations in our quarterly operating results;</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announcements of new products by us or our competitors;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changes in financial estimates by securities analysts;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conditions in the pharmaceutical market;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changes in the economic performance or market valuations of other companies involved in pharmaceutical production;</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announcements by our competitors of significant acquisitions, strategic partnerships, joint ventures or capital commitments;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economic, regulatory and political developments;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addition or departure of key personnel, or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720"/>
        <w:gridCol w:w="360"/>
        <w:gridCol w:w="8280"/>
      </w:tblGrid>
      <w:tr>
        <w:tblPrEx>
          <w:tblW w:w="5000" w:type="pct"/>
          <w:tblCellSpacing w:w="0" w:type="dxa"/>
          <w:tblCellMar>
            <w:top w:w="0" w:type="dxa"/>
            <w:left w:w="0" w:type="dxa"/>
            <w:bottom w:w="0" w:type="dxa"/>
            <w:right w:w="0" w:type="dxa"/>
          </w:tblCellMar>
        </w:tblPrEx>
        <w:trPr>
          <w:tblCellSpacing w:w="0" w:type="dxa"/>
        </w:trPr>
        <w:tc>
          <w:tcPr>
            <w:tcW w:w="72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potential litigation.</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the securities markets have from time to time experienced significant price and volume fluctuations that are not related to the operating performance of particular companies. These market fluctuations may also materially and adversely affect the market price of our common stock.</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may issue additional shares of our capital stock to raise additional cash for working capital; if we issue additional shares of our capital stock, our stockholders will experience dilution in their respective percentage ownership in the company.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may issue additional shares of our capital stock to raise additional cash for working capital. There is no anti-dilution protection or preemptive rights in connection with our common stock. Thus, the percentage ownership of existing holders of common stock may be diluted in their respective percentage ownership in us if we issue additional shares of our capital stock.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are likely to remain subject to “penny stock” regulations and as a consequence there are additional sales practice requirements and additional warnings issued by the SEC.</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If at any time we have net tangible assets of $5,000,000 or less and the trading price of our common stock is below $5.00 per share, the open-market trading of our common stock will be subject to the “penny stock” rules of the SEC. The “penny stock” rules impose additional sales practice requirements on broker-dealers who sell securities to persons other than established customers and accredited investors (generally those with assets in excess of $1,000,000 or annual income exceeding $200,000 or $300,000 together with their spouse). For transactions covered by these rules, the broker-dealer must make a special suitability determination for the purchase of securities and have received the purchaser’s written consent to the transaction before the purchase. Additionally, for any transaction involving a penny stock, unless exempt, the broker-dealer must deliver, before the transaction, a disclosure schedule prescribed by the SEC relating to the penny stock market. The broker-dealer also must disclose the commissions payable to both the broker-dealer and the registered representative and current quotations for the securities. Finally, monthly statements must be sent disclosing recent price information on the limited market in penny stocks. These additional burdens imposed on broker-dealers may restrict the ability of broker-dealers to sell the common stock and may affect a stockholder’s ability to resell the common stock.</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can be no assurance that our common stock will qualify for exemption from the “penny stock” rules. In any event, even if our common stock is exempt from such rules, we would remain subject to Section 15(b)(6) of the Exchange Act, which gives the SEC the authority to restrict any person from participating in a distribution of a “penny stock” if the SEC finds that such a restriction would be in the public interest.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Stockholders should be aware that, according to SEC Release No. 34-29093, the market for penny stocks has suffered in recent years from patterns of fraud and abuse. Such patterns include (i) control of the market for the security by one or a few broker-dealers that are often related to the promoter or issuer; (ii) manipulation of prices through prearranged matching of purchases and sales and false and misleading press releases; (iii) boiler room practices involving high-pressure sales tactics and unrealistic price projections by inexperienced sales persons; (iv) excessive and undisclosed bid-ask differential and markups by selling broker-dealers; and (v) the wholesale dumping of the same securities by promoters and broker-dealers after prices have been manipulated to a desired level, along with the resulting inevitable collapse of those prices and with consequent investor losses. Our management is aware of the abuses that have occurred historically in the penny stock market.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are responsible for the indemnification of our officers and directors under certain circumstances which could result in substantial expenditures, which we may be unable to recoup.</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bylaws provide for the indemnification of our directors, officers, employees, and agents, under certain circumstances, against attorney’s fees and other expenses incurred by them in any litigation to which they become a party arising from their association with or activities on behalf of us. This indemnification policy could result in substantial expenditures, which we may be unable to recoup.</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have identified material weaknesses in our internal control over financial reporting, which could affect our ability to ensure timely and reliable financial reports, affect the ability of our auditors to attest to the effectiveness of our internal controls should we become an accelerated filer in the future, and weaken investors’ confidence in our financial reporting.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directed by Section 404 of the Sarbanes-Oxley Act of 2002, the SEC adopted rules requiring public companies in their annual reports to include a report of management on the reporting company’s disclosure controls and procedures and internal controls over financial reporting. We became subject to this requirement commencing with our fiscal year ended December 31, 2007 and a report of our management is included under Item 9A. “Controls and Procedures” of this Annual Report on Form 10-K. As set forth in such report, our management has concluded that our internal controls over financial reporting were not effective as of December 31, 2023, and there existed a material weakness in our internal control over financial reporting as of December 31, 2023.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taking appropriate actions to internally training related personnel, such as Chief Financial Officer, to remediate such material weakness; however, such measures may not be sufficient to address the material weaknesses identified or ensure that our controls and procedures are effective. We may also discover other material weaknesses in the future. Any failure to maintain or implement required new or improved controls, or any difficulties we encounter in the implementation of such controls, could cause us to fail to meet our periodic reporting obligations or result in material misstatements in our financial statements and affect the ability of our auditors to attest to the effectiveness of our internal control over financing reporting to the extent we become an accelerated filer in the future. In addition, substantial costs and resources may be required to rectify any internal control deficiencies. If we cannot produce reliable financial reports, investors could lose confidence in our reported financial information, the market price of our common stock could decline significantly, and our business and financial condition could be adversely affected.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There is substantial doubt about our ability to continue as a going concern.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auditors have indicated in their report on our financial statements for the years ended December 31, 2023 and 2022  that conditions exist that raise substantial doubt about our ability to continue as a going concern as discussed in Note 1 to the financial statements. The Company incurred recurring losses from operations, has net current liabilities and an accumulated deficit that raise substantial doubt about its ability to continue as a going concern.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alleviate the conditions that raise substantial doubt about the Company’s ability to continue as a going concern, management plans to enhance the sales model of advance payment, and further strengthen its collection of accounts receivable. Further, the Company is currently exploring strategic alternatives to accelerate the launch of comprehensive healthcare products. In addition, management believes that the Company’s existing fixed assets can serve as collateral to support additional bank loans. While the current plans will allow the Company to fund its operations in the next twelve months, there can be no assurance that the Company will be able to achieve its future strategic alternatives raising substantial doubt about its ability to continue as a going concern.</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If we are unable to generate enough cash or obtain additional sufficient funding, we would need to scale back or eliminate our business plan, reduce our operating costs and headcount, or discontinue or curtail our operations. Accordingly, our business, prospects, financial condition and results of operations could be materially and adversely affected, and we may be unable to continue as a going concern. If we are unable to continue as a going concern, we may have to liquidate our assets and may receive less than the value at which those assets are carried on our audited consolidated financial statements, and it is likely that investors will lose all or a part of their investment. Our financial statements do not include any adjustments that might result from the outcome of this uncertainty.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We do not anticipate paying cash dividends on our common stock.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You should not rely on an investment in our common stock to provide dividend income, as we have not paid any cash dividends on our common stock and do not plan to pay any in the foreseeable future. Accordingly, investors must rely on sales of our common stock after price appreciation, which may never occur, as the only way to realize any return on their investment.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Restrictions on the Use of Rule 144 by Shell Companies or Former Shell Companies.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Historically, the SEC has taken the position that Rule 144 under the Securities Act, as amended, is not available for the resale of securities initially issued by companies that are, or previously were, blank check companies like us, to their promoters or affiliates despite technical compliance with the requirements of Rule 144. The SEC has codified and expanded this position in its amendments effective on February 15, 2008 and applies it to securities acquired both before and after that date by prohibiting the use of Rule 144 for resale of securities issued by shell companies (other than business transaction related shell companies) or issuers that have been at any time previously a shell company. The SEC has provided an important exception to this prohibition, however, if the following conditions are met: the issuer of the securities that was formerly a shell company has ceased to be a shell company; the issuer of the securities is subject to the reporting requirements of Section 13 or 15(d) of the Exchange Act; the issuer of the securities has filed all Exchange Act reports and material required to be filed, as applicable, during the preceding 12 months (or such shorter period that the issuer was required to file such reports and materials), other than Form 8-K reports; and at least one year has elapsed from the time that the issuer filed current Form 10 type information with the SEC reflecting its status as an entity that is not a shell company. As such, due to the fact that we had been a shell company prior to October 2005, holders of “restricted securities” within the meaning of Rule 144, when reselling their shares pursuant to Rule 144, shall be subject to the conditions set forth herein.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3" w:name="a_003"/>
      <w:bookmarkEnd w:id="3"/>
      <w:r>
        <w:rPr>
          <w:rFonts w:ascii="Times New Roman" w:eastAsia="Times New Roman" w:hAnsi="Times New Roman" w:cs="Times New Roman"/>
          <w:b/>
          <w:bCs/>
          <w:i w:val="0"/>
          <w:iCs w:val="0"/>
          <w:smallCaps w:val="0"/>
          <w:sz w:val="20"/>
          <w:szCs w:val="20"/>
        </w:rPr>
        <w:t>ITEM 1B. UNRESOLVED STAFF COMMENTS.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Smaller reporting companies are not required to provide the information required by this item.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4" w:name="a_004"/>
      <w:bookmarkEnd w:id="4"/>
      <w:r>
        <w:rPr>
          <w:rFonts w:ascii="Times New Roman" w:eastAsia="Times New Roman" w:hAnsi="Times New Roman" w:cs="Times New Roman"/>
          <w:b/>
          <w:bCs/>
          <w:i w:val="0"/>
          <w:iCs w:val="0"/>
          <w:smallCaps w:val="0"/>
          <w:sz w:val="20"/>
          <w:szCs w:val="20"/>
        </w:rPr>
        <w:t>ITEM 1C. CYBERSECURITY.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Risk Management and Strategy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implemented cybersecurity risk assessment procedures to ensure effectiveness in cybersecurity management, strategy and governance and reporting cybersecurity risks. We have also integrated cybersecurity risk management into our overall enterprise risk management system.</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used a cybersecurity threat defense system to address both internal and external threats. This system encompasses various levels, including network, host and application security and incorporates systematic security capabilities for threat defense, monitoring, analysis, response, deception and countermeasures. We strive to manage cybersecurity risks and protect sensitive information through various methods, including technical safeguards, procedural requirements, an intensive monitoring program on our corporate network, a robust incident response program, a review of the effectiveness of our security system with reference to applicable security standards by qualified third parties and regular cybersecurity awareness training for employees. We continuously monitor the performance of our apps, platforms and infrastructure to enable us to respond quickly to potential problems, including potential cybersecurity threats.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the date of this Report, we have not experienced any material cybersecurity incidents or identified any material cybersecurity threats that have affected or are reasonably likely to materially affect us, our business strategy, results of operations or financial condition.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Governance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Board of Directors is responsible for overseeing the Company’s cybersecurity risk management and be informed on risks from cybersecurity threats. The Board shall review, approve and maintain oversight of the disclosure (i) on Form 8-K for material cybersecurity incidents (if any) and (ii) related to cybersecurity matters in the periodic reports (including annual report on Form 10-K) of the Company. In addition, our management team, including those with experience in dealing with confidentiality-related cybersecurity issues, oversee and manage cybersecurity related matters and formulate policies as necessary. Our Board review on an annual basis regarding assessment, identification and management on material risks from cybersecurity threats happened in the ordinary course of our business operations. If a cybersecurity incident occurs, our Board will promptly organize relevant personnel for internal assessment and, depending on the situation, seek the opinions of external experts and legal advisors. If it is determined that the incident could potentially be a material cybersecurity event, our Board will decide on the relevant response measures and whether any disclosure is necessary. If such disclosure is determined to be necessary, such disclosure material will be prepared and reviewed by our Board before it is disseminated to the public.</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5" w:name="a_005"/>
      <w:bookmarkEnd w:id="5"/>
      <w:r>
        <w:rPr>
          <w:rFonts w:ascii="Times New Roman" w:eastAsia="Times New Roman" w:hAnsi="Times New Roman" w:cs="Times New Roman"/>
          <w:b/>
          <w:bCs/>
          <w:i w:val="0"/>
          <w:iCs w:val="0"/>
          <w:smallCaps w:val="0"/>
          <w:sz w:val="20"/>
          <w:szCs w:val="20"/>
        </w:rPr>
        <w:t>ITEM 2. PROPERTIES.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is no private land ownership in the PRC. All land is either owned by the government of the PRC on behalf of all Chinese citizens or collectively owned by farmers. However, land use rights may be allocated by the PRC State Land Administration Bureau or its authorized branches. Helpson was granted land use rights by the PRC government for approximately 22,936 square meters (approximately 246,881 square feet) of land located on Plot C09-2 in the Haikou Bonded Zone, Hainan Province, PRC in 2003. These land use rights will expire on September 10, 2063.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owns two production facilities in Haikou, Hainan Province, PRC, one of which has a construction area of 663.94 square meters and is located on the 6th floor of Standard Plant Building B, Jinpan Industrial Development Zone. The other factory, located on Plot C09-2 in the Haikou Bonded Zone, has two buildings with production area of 20,282.42 square meters, certificate number HK477872, and 6,593.20 square meters, certificate number HK122889.</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Helpson rents offices located on the second floor and third floor of the Jiahai Building owned by Hainan Zhongfu Foreign Export Personnel Service Center (the “Center”) as its principal executive offices. For office spaces on the second floor and third floor at a monthly rent of RMB 17,600 (approximately $2,485) and RMB 30,000 (approximately $4,236), respectively, based on the current lease dated June 5, 2023 that is for a two-year term ending June 30, 2025. The aggregate area of the office space rented by Helpson is 1,686 square meters (16,812 square feet).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believe that all our properties have been adequately maintained, are generally in good condition, and are suitable and adequate for our business. However, we anticipate a potential need for expansion and additional space as our production increases.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Mortgaged Property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25, 2023 the Company received a line of credit for RMB 10 million (approximately $1.41 million) from Bank of China. The loan bears interest at the rate of 3.35% and is due September 26, 2024. The loan is collateralized by the Company’s new production facility and the production line equipment and machinery contained therein.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the Company’s Chief Executive Officer and Chair of the Board personally guaranteed the new line of credit. Total interest paid on this loan was $11,225 for the years ended December 31, 2023.</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loans referred to above are set forth in the table below:</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782"/>
        <w:gridCol w:w="92"/>
        <w:gridCol w:w="1210"/>
        <w:gridCol w:w="92"/>
        <w:gridCol w:w="1117"/>
        <w:gridCol w:w="92"/>
        <w:gridCol w:w="97"/>
        <w:gridCol w:w="836"/>
        <w:gridCol w:w="177"/>
        <w:gridCol w:w="92"/>
        <w:gridCol w:w="2768"/>
      </w:tblGrid>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Amount of the Line of Credit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Lending Institution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Contract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Interest Rate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Properties under</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Mortgage</w:t>
            </w:r>
          </w:p>
        </w:tc>
      </w:tr>
      <w:tr>
        <w:tblPrEx>
          <w:tblW w:w="5000" w:type="pct"/>
          <w:tblInd w:w="5" w:type="dxa"/>
          <w:tblCellMar>
            <w:top w:w="0" w:type="dxa"/>
            <w:left w:w="0" w:type="dxa"/>
            <w:bottom w:w="0" w:type="dxa"/>
            <w:right w:w="0" w:type="dxa"/>
          </w:tblCellMar>
        </w:tblPrEx>
        <w:tc>
          <w:tcPr>
            <w:tcW w:w="1500" w:type="pct"/>
            <w:shd w:val="clear" w:color="auto" w:fill="CCEEFF"/>
            <w:noWrap w:val="0"/>
            <w:tcMar>
              <w:top w:w="5" w:type="dxa"/>
              <w:left w:w="185" w:type="dxa"/>
              <w:bottom w:w="5" w:type="dxa"/>
              <w:right w:w="5" w:type="dxa"/>
            </w:tcMar>
            <w:vAlign w:val="top"/>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RMB 10 million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(Approximately $1.41 million)</w:t>
            </w:r>
          </w:p>
        </w:tc>
        <w:tc>
          <w:tcPr>
            <w:tcW w:w="50" w:type="pct"/>
            <w:shd w:val="clear" w:color="auto" w:fill="CCEEFF"/>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650" w:type="pct"/>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 of China</w:t>
            </w:r>
          </w:p>
        </w:tc>
        <w:tc>
          <w:tcPr>
            <w:tcW w:w="50" w:type="pct"/>
            <w:shd w:val="clear" w:color="auto" w:fill="CCEEFF"/>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600" w:type="pct"/>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September 25, 2023 to September 26, 2024</w:t>
            </w:r>
          </w:p>
        </w:tc>
        <w:tc>
          <w:tcPr>
            <w:tcW w:w="50" w:type="pct"/>
            <w:shd w:val="clear" w:color="auto" w:fill="CCEEFF"/>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top"/>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3.35</w:t>
            </w:r>
          </w:p>
        </w:tc>
        <w:tc>
          <w:tcPr>
            <w:tcW w:w="50" w:type="pct"/>
            <w:shd w:val="clear" w:color="auto" w:fill="CCEEFF"/>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500" w:type="pct"/>
            <w:shd w:val="clear" w:color="auto" w:fill="CCEEFF"/>
            <w:noWrap w:val="0"/>
            <w:tcMar>
              <w:top w:w="5" w:type="dxa"/>
              <w:left w:w="5" w:type="dxa"/>
              <w:bottom w:w="5" w:type="dxa"/>
              <w:right w:w="5"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Helpson’s new factory: 20,282.42 square meters (Certificate #: HK477872) Production line equipment and machinery included in the facility</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6" w:name="a_006"/>
      <w:bookmarkEnd w:id="6"/>
      <w:r>
        <w:rPr>
          <w:rFonts w:ascii="Times New Roman" w:eastAsia="Times New Roman" w:hAnsi="Times New Roman" w:cs="Times New Roman"/>
          <w:b/>
          <w:bCs/>
          <w:i w:val="0"/>
          <w:iCs w:val="0"/>
          <w:smallCaps w:val="0"/>
          <w:sz w:val="20"/>
          <w:szCs w:val="20"/>
        </w:rPr>
        <w:t>ITEM 3. LEGAL PROCEEDINGS.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we may become involved in various lawsuits and legal proceedings which arise in the ordinary course of business. Litigation is subject to inherent uncertainties, and an adverse result in these or other matters may arise from time to time that may harm our business. However, we are currently not aware of any such legal proceedings or claims that we believe will have, individually or in the aggregate, a material adverse effect on our business, financial condition or operating results.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7" w:name="a_007"/>
      <w:bookmarkEnd w:id="7"/>
      <w:r>
        <w:rPr>
          <w:rFonts w:ascii="Times New Roman" w:eastAsia="Times New Roman" w:hAnsi="Times New Roman" w:cs="Times New Roman"/>
          <w:b/>
          <w:bCs/>
          <w:i w:val="0"/>
          <w:iCs w:val="0"/>
          <w:smallCaps w:val="0"/>
          <w:sz w:val="20"/>
          <w:szCs w:val="20"/>
        </w:rPr>
        <w:t>ITEM 4. MINE SAFETY DISCLOSURES.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Not applicable.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8" w:name="a_008"/>
      <w:bookmarkEnd w:id="8"/>
      <w:r>
        <w:rPr>
          <w:rFonts w:ascii="Times New Roman" w:eastAsia="Times New Roman" w:hAnsi="Times New Roman" w:cs="Times New Roman"/>
          <w:b/>
          <w:bCs/>
          <w:i w:val="0"/>
          <w:iCs w:val="0"/>
          <w:smallCaps w:val="0"/>
          <w:sz w:val="20"/>
          <w:szCs w:val="20"/>
        </w:rPr>
        <w:t>PART II</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9" w:name="a_009"/>
      <w:bookmarkEnd w:id="9"/>
      <w:r>
        <w:rPr>
          <w:rFonts w:ascii="Times New Roman" w:eastAsia="Times New Roman" w:hAnsi="Times New Roman" w:cs="Times New Roman"/>
          <w:b/>
          <w:bCs/>
          <w:i w:val="0"/>
          <w:iCs w:val="0"/>
          <w:smallCaps w:val="0"/>
          <w:sz w:val="20"/>
          <w:szCs w:val="20"/>
        </w:rPr>
        <w:t>ITEM 5. MARKET FOR REGISTRANT’S COMMON EQUITY, RELATED STOCKHOLDER MATTERS AND ISSUER PURCHASES OF EQUITY SECURITIES.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Market Information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shares began trading on the NYSE American (Formerly known as NYSE Amex, NYSE MKT) on September 30, 2009 under the symbol “CPHI”. Prior to September 30, 2009, our shares traded on the OTC Bulletin Board under the symbol “CPHI.OB.”</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Holders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24, 2024, there were approximately 133 stockholders of record of our common stock and an indeterminate number of beneficial holders who held our common stock in street name.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Transfer Agent and Registrar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transfer agent and registrar for our common stock is Equinity Trust Company, with offices located at 1110 Centre Pointe Curve, Suite 101, Mendota Heights, MN 55120. Their telephone number is (651)306-2920.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12"/>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Dividend Policy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12"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never paid or declared any dividend on our common stock and we do not anticipate paying cash dividends in the foreseeable future. As a result of our holding company structure, we would rely entirely on dividend payments from our subsidiaries, Onny Investment Ltd. and Hainan Helpson Medial &amp; Biotechnology Co., Ltd., for our cash flow to pay dividends on our common stock. The PRC government imposes controls on the conversion of Renminbi into foreign currencies and the remittance of currencies out of the PRC, which may also affect our ability to pay cash dividends in the future.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Securities Authorized for Issuance under Equity Compensation Plans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5600"/>
        <w:gridCol w:w="87"/>
        <w:gridCol w:w="159"/>
        <w:gridCol w:w="863"/>
        <w:gridCol w:w="87"/>
        <w:gridCol w:w="87"/>
        <w:gridCol w:w="126"/>
        <w:gridCol w:w="896"/>
        <w:gridCol w:w="87"/>
        <w:gridCol w:w="87"/>
        <w:gridCol w:w="99"/>
        <w:gridCol w:w="1089"/>
        <w:gridCol w:w="87"/>
      </w:tblGrid>
      <w:tr>
        <w:tblPrEx>
          <w:tblW w:w="5000" w:type="pct"/>
          <w:tblInd w:w="5" w:type="dxa"/>
          <w:tblCellMar>
            <w:top w:w="0" w:type="dxa"/>
            <w:left w:w="0" w:type="dxa"/>
            <w:bottom w:w="0" w:type="dxa"/>
            <w:right w:w="0" w:type="dxa"/>
          </w:tblCellMar>
        </w:tblPrEx>
        <w:tc>
          <w:tcPr>
            <w:gridSpan w:val="13"/>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 Compensation Plan Information</w:t>
            </w:r>
          </w:p>
        </w:tc>
      </w:tr>
      <w:tr>
        <w:tblPrEx>
          <w:tblW w:w="5000" w:type="pct"/>
          <w:tblInd w:w="5" w:type="dxa"/>
          <w:tblCellMar>
            <w:top w:w="0" w:type="dxa"/>
            <w:left w:w="0" w:type="dxa"/>
            <w:bottom w:w="0" w:type="dxa"/>
            <w:right w:w="0" w:type="dxa"/>
          </w:tblCellMar>
        </w:tblPrEx>
        <w:tc>
          <w:tcPr>
            <w:gridSpan w:val="13"/>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Plan category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Number of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securities</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to be</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issued upon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exercise of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outstanding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options, warrants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and rights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average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price of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outstanding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options, warrants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and rights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Number of securities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remaining available for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future issuance under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equity compensation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plans (excluding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securities reflected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 column (a))</w:t>
            </w:r>
            <w:r>
              <w:rPr>
                <w:rFonts w:ascii="Times New Roman" w:eastAsia="Times New Roman" w:hAnsi="Times New Roman" w:cs="Times New Roman"/>
                <w:b/>
                <w:bCs/>
                <w:i w:val="0"/>
                <w:iCs w:val="0"/>
                <w:smallCaps w:val="0"/>
                <w:color w:val="000000"/>
                <w:sz w:val="25"/>
                <w:szCs w:val="25"/>
                <w:vertAlign w:val="superscript"/>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2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Equity compensation plans not approved by security holders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Equity compensation plans approved by security holders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482,000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482,000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900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All shares have been retroactively restated to reflect the effect of the 1-for-5 reverse stock split effective March 6, 2024.</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0" w:name="a_010"/>
      <w:bookmarkEnd w:id="10"/>
      <w:r>
        <w:rPr>
          <w:rFonts w:ascii="Times New Roman" w:eastAsia="Times New Roman" w:hAnsi="Times New Roman" w:cs="Times New Roman"/>
          <w:b/>
          <w:bCs/>
          <w:i w:val="0"/>
          <w:iCs w:val="0"/>
          <w:smallCaps w:val="0"/>
          <w:sz w:val="20"/>
          <w:szCs w:val="20"/>
        </w:rPr>
        <w:t>ITEM 6. [Reserved]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1" w:name="a_011"/>
      <w:bookmarkEnd w:id="11"/>
      <w:r>
        <w:rPr>
          <w:rFonts w:ascii="Times New Roman" w:eastAsia="Times New Roman" w:hAnsi="Times New Roman" w:cs="Times New Roman"/>
          <w:b/>
          <w:bCs/>
          <w:i w:val="0"/>
          <w:iCs w:val="0"/>
          <w:smallCaps w:val="0"/>
          <w:sz w:val="20"/>
          <w:szCs w:val="20"/>
        </w:rPr>
        <w:t>ITEM 7. MANAGEMENT’S DISCUSSION AND ANALYSIS OF FINANCIAL CONDITION AND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statements contained in this report with respect to our financial condition, results of operations and business that are not historical facts are forward-looking statements. Forward-looking statements can be identified by the use of forward-looking terminology, such as “anticipate,” “believe,” “expect,” “plan,” “intend,” “seek,” “estimate,” “project,” “could,” or the negative thereof or other variations thereon, or by discussions of strategy that involve risks and uncertainties. Management wishes to caution the readers that any such forward-looking statements contained in this report reflect our current beliefs with respect to future events and involve known and unknown risks, uncertainties and other factors, including, but not limited to, economic, competitive, regulatory, technological, key employees, and general business factors affecting our operations, markets, growth, services, products, licenses and other factors, some of which are described in this report and some of which are discussed in our other filings with the Securities and Exchange Commission (the “SEC”). These forward-looking statements are only estimates or predictions. No assurances can be given regarding the achievement of future results, as actual results may differ materially as a result of risks facing our company, and actual events may differ from the assumptions underlying the statements that have been made regarding anticipated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risk factors should be considered in connection with any subsequent written or oral forward-looking statements that we or persons acting on our behalf may issue. All written and oral forward-looking statements made in connection with this report that are attributable to our company or persons acting on our behalf are expressly qualified in their entirety by these cautionary statements. Given these uncertainties, we caution investors not to unduly rely on our forward-looking statements. We do not undertake any obligation to review or confirm analysts’ expectations or estimates or to release publicly any revisions to any forward-looking statements to reflect events or circumstances after the date of this report or to reflect the occurrence of unanticipated events, except as required by applicable law or regulation.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Business Overview &amp; Recent Developments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Holding Inc. (“China Pharma”) is not a Chinese operating company but a Nevada holding company. All of our operations are conducted in the PRC through Hainan Helpson Medical &amp; Biotechnology Co., Ltd (“Helpson”), our wholly owned subsidiary incorporated under the laws of the People’s Republic of China (the “PRC”), where the manufacturing facilities are located. Helpson is principally engaged in the development, manufacture and marketing of pharmaceutical products for human use in connection with a variety of high-incidence and high-mortality diseases and medical conditions prevalent in the PRC. It manufactures pharmaceutical products in the form of dry powder injectables, liquid injectables, tablets, capsules, and cephalosporin oral solutions. The majority of its pharmaceutical products are sold on a prescription basis and all of them have been approved for at least one or more therapeutic indications by the National Medical Products Administration (the “NMPA”, formerly China Food and Drug Administration, or CFDA) based upon demonstrated safety and efficacy.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China’s consistency evaluation of generic drugs continues to proceed in 2023. Helpson has always taken the task of promoting the consistency evaluation as a top priority, and worked on them actively. However, for each drug’s consistency evaluation, due to the continuous dynamic changes of the detailed consistency evaluation policies, market trends, expected investments, and expected returns of investment (“ROI”), the whole industry, including Helpson, has been making slow progresses in terms of the consistency evaluation. One of the flagship products, Candesartan tablets, a hypertension product, has passed generic-drug-consistency-evaluation in early August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has taken a more cautious and flexible attitude towards initiating and progressing any project for existing products’ consistency evaluation to cope with the changing macro environment of drug sales in China. In 2018, relevant Chinese authorities decided to implement trial Centralized Procurement (“CP”) activities in 11 selected pilot cities (including 4 municipalities and 7 other cities), since then, nine rounds of CP activities have been carried out as of November 6, 2023, which significantly reduced the price of the drugs that won the bids. In addition, the consistency evaluation has been adopted as one of the qualification standards for participating in the CP activities. As a result, Helpson needs to balance between the market access brought by CP, the investment of financial resources and time to obtain the qualification of CP, and the sharp decline in the price of drugs included in CP before making decisions regarding CP for any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Helpson continues to explore the field of comprehensive healthcare. Comprehensive healthcare is a general concept proposed by the Chinese government according to the development of the times, social needs and changes in disease spectrum. According to the Outline of “Healthy China 2030” issued by Chinese government in October 2016, the total size of China’s health service industry is expected to reach RMB 16 trillion (approximately $2.5 trillion) by 2030. This industry focuses on people’s daily life, aging and diseases, pays attention to all kinds of risk factors and misunderstandings affecting health, calls for self-health management, and advocates the comprehensive care throughout the entire process of life. It covers all kinds of health-related information, products, and services, as well as actions taken by various organizations to meet the health needs. In response to this trend, Helpson launched Noni enzyme, a natural, Xeronine-rich antioxidant food supplement at the end of 2018. It also launched wash-free sanitizers and masks, in 2020, to address the market needs caused by COVID-19 in China. As Chinese government officially terminated its zero-case policy, now the responsibility to protect people from the impact of COVID-19 falls more to the citizens themselves, and masks and sanitizers have been more and more popular due to increasing demand. Helpson has sufficient production capacity for medical masks, surgical masks, KN95 masks, and N95 masks, which meets the personal needs for protection against the epidemic outbreak. Helpson’s N95 medical protective mask has received registration certificate by the end of 2022 and right now has been selling in the mainland China nationwide.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will continue to optimize its product structure and actively respond to the current health needs of human beings.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Market Trends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 generic drug company, Helpson is presented with a huge domestic market. Helpson believes that through further upgrades and better conformity with Chinese consistency evaluations, which are based on European and American production standards, it will be able to export the products to overseas markets. In China’s market, Helpson believes that in the future, cost management and control ability will gradually become important factors in determining the competitiveness of generic pharmaceutical enterprises. Although price control leads to a decline in the profitability, enterprises who win the CP have a good chance of achieving bulk pricing to increase their market share and support their continuous innovation and transformation. On a separate note, growing and advancing consumer demand in China drives the increase of discretionary consumption. With the improvement of residents’ quality of life, the healthcare demand is also changing. Helpson believes that there is a large number of unmet demands in comprehensive healthcare and internet healthcare sectors.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the Office of the State Council issued “</w:t>
      </w:r>
      <w:r>
        <w:rPr>
          <w:rFonts w:ascii="Times New Roman" w:eastAsia="Times New Roman" w:hAnsi="Times New Roman" w:cs="Times New Roman"/>
          <w:b w:val="0"/>
          <w:bCs w:val="0"/>
          <w:i/>
          <w:iCs/>
          <w:smallCaps w:val="0"/>
          <w:sz w:val="20"/>
          <w:szCs w:val="20"/>
        </w:rPr>
        <w:t>Pilot Plan for Marketing Authorization Holders</w:t>
      </w:r>
      <w:r>
        <w:rPr>
          <w:rFonts w:ascii="Times New Roman" w:eastAsia="Times New Roman" w:hAnsi="Times New Roman" w:cs="Times New Roman"/>
          <w:b w:val="0"/>
          <w:bCs w:val="0"/>
          <w:i w:val="0"/>
          <w:iCs w:val="0"/>
          <w:smallCaps w:val="0"/>
          <w:sz w:val="20"/>
          <w:szCs w:val="20"/>
        </w:rPr>
        <w:t>” on May 24, 2016, allowing eligible drug research and development institutions and scientific researchers to become Marketing Authorization Holders (“MAH”) by obtaining drug marketing authorization and drug approval numbers from the State Council. This policy uses a management model of separating drug marketing authorization and drug production licenses, thereby allowing MAHs to produce pharmaceuticals themselves or to consign production to other pharmaceutical manufacturers. This policy not only transitions the production practices to meet the European and United States standards by separating drug approval and production qualifications, thereby changing the existing model of bundling drug approval codes to pharmaceutical manufacturers in China, but also serves as a supplement to the ongoing consistency evaluations policy.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general, demand for pharmaceutical products continues its steady growth in China. Helpson believes the ongoing generic drug consistency evaluations and reform of China’s drug production registration and review policies will have major effects on the future development of our industry and may change its business patterns. Helpson will continue to actively adapt to the national policy guidance and further evaluate market conditions for the existing products then adjust accordingly, and compete in the market in order to optimize the development strategy.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Results of Operations for the Fiscal Year ended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was $7.0 million for the year ended December 31, 2023, which represented a decrease of $1.1 million, as compared to $8.1 million for the year ended December 31, 2022. This decline was mainly due to an increasing number of drugs from other medicine providers being included in national CP, while Helpson’s related products have not passed consistency evaluation. As Helpson’s related products are not qualified to participate in CP, the resulting sales has decreased.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 forth below are our revenues by product category in millions (USD) for the 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810"/>
        <w:gridCol w:w="92"/>
        <w:gridCol w:w="92"/>
        <w:gridCol w:w="836"/>
        <w:gridCol w:w="92"/>
        <w:gridCol w:w="92"/>
        <w:gridCol w:w="92"/>
        <w:gridCol w:w="836"/>
        <w:gridCol w:w="92"/>
        <w:gridCol w:w="92"/>
        <w:gridCol w:w="92"/>
        <w:gridCol w:w="840"/>
        <w:gridCol w:w="92"/>
        <w:gridCol w:w="92"/>
        <w:gridCol w:w="92"/>
        <w:gridCol w:w="840"/>
        <w:gridCol w:w="177"/>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spacing w:before="0" w:after="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Twelve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spacing w:before="0" w:after="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spacing w:before="0" w:after="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spacing w:before="0" w:after="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spacing w:before="0" w:after="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0.41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0.73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most significant revenue decrease in terms of dollar amount was in the “Anti-Viral/ Infection &amp; Respiratory” product category, it generated $3.57 million in 2023, compared to $4.94 million in 2022, which represented a decrease of $1.37 million. This decrease was mainly due to a decrease in sales of Helpson’s Roxithromycin Dispersible Tablet due to the inclusion of this product in the seventh round of CP, and the Roxithromycin produced by Helpson not passing the consistency evaluation, therefore not eligible to participate in CP.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revenues in the “Digestive Diseases” category was $1.09 million of sales revenue in 2023, which represented an increase of $0.68 million compared to $0.41 million in 2022. This increase was mainly due to an increase in sales of the Omeprazole due to market fluctuation.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revenue in the “CNS Cerebral &amp; Cardio Vascular” category was $1.62 million in 2023, which represented a decrease of $0.08 million compared to $1.70 million in 2022. The sales revenue of this category in 2023 is similar to that in 2022, because the increase and decrease in sales of various products due to market fluctuations offset each other.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revenue in the “Other” product category was $0.73 million in 2023, compared to $1.06 million in 2022, which represented a decrease of $0.33 million. This decrease was mainly due to a decrease in sales of the Vitamin B6 for Injection due to market fluctuation, and change in foreign exchange rate.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71"/>
        <w:gridCol w:w="92"/>
        <w:gridCol w:w="93"/>
        <w:gridCol w:w="830"/>
        <w:gridCol w:w="177"/>
        <w:gridCol w:w="92"/>
        <w:gridCol w:w="93"/>
        <w:gridCol w:w="830"/>
        <w:gridCol w:w="177"/>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Twelve Months Ended 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year ended December 31, 2023, revenue breakdown by product category experienced certain variances compared with that of the prior year. Sales in the “Anti-Viral/Infection &amp; Respiratory” product category represented 51% and 61% of total sales in the years ended December 31, 2023 and 2022, respectively. The “CNS Cerebral &amp; Cardio Vascular” category represented 23% of total revenue in 2023, compared to 21% in 2022. The “Digestive Diseases” category represented 16% and 5% of total revenue in 2023 and 2022, respectively. The “Other” category represented 10% and 13% of revenues in 2023 and 2022,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Cost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year ended December 31, 2023, our cost of revenue was $7.3 million, or 104.0% of total revenue, which represented a decrease of $1.3 million from $8.6 million, or 106.1% of total revenue, in 2022. The decrease in cost is mainly due to the difference in the proportion of different products to total revenue this year and last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Gross Loss and Gross Loss Margin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Gross loss for the year ended December 31, 2023 was $0.3 million, compared to $0.5 million in 2022. Our gross loss margin in 2023 was 4.0%, compared to 6.1% in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Selling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selling expenses for the year ended December 31, 2023 were $0.8 million, a decrease of $0.3 million compared to $1.1 million for the year ended December 31, 2022. Selling expenses accounted for 11.1% of the total revenue in 2023 compared to 13.2% in 2022.  Because of the adjustments in the sales practices and Chinese national CP, we reduced selling expenses to efficiently support the sales and the collection of accounts receivable, especially in the context of the increasing impact of CP, like other players in the industry, we have reduced the promotion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General and Administrative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general and administrative expenses for the year ended December 31, 2023 were $1.2 million, a decrease of $0.7 million compared to $1.9 million for the year ended December 31, 2022. General and administrative expenses accounted for 17.0% and 23.4% of our total revenues in 2023 and 2022, respectively. The decrease in administrative expenses was mainly due to the higher exchange rate of the RMB against the US dollar in 2023 and the higher government subsidies obtained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Research and Development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research and development expenses for the year ended December 31, 2023 was $0.24 million, compared to $0.19 million in 2022. Research and development expenses accounted for 3.4% and 2.3% of our total revenues in 2023 and 2022, respectively. These increased research and development expenditures in 2023 was mainly due to the fact that as the contract progressed, the expenditure for Candesartan consistency evaluation was higher in 2023 as compared to 2022.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Bad Debt Benefit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bad debt benefit for the year ended December 31, 2023 was $15,757, as compared to $93,851 in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general, our normal customer credit or payment terms are 90 days. This has not changed in recent years. Such relatively long credit term is due to the peculiar environment affecting the Chinese pharmaceutical market, as deferred payments by state-owned hospitals to local drug distributors are common, and their deferred payments will indirectly delay the payments from our customers to us. Due to the timeliness requirements of the NMPA for logistics of drug sales, Helpson, like most other pharmaceutical companies in China, sells substantially all the drugs to local drug distributors, certified by GSP (Good Supply Practice), the standard of products supply, which is a standard protocol to control the quality of the products during circulation. These GSP certified distributors then sell the drugs to state-owned hospitals. The GSP certified distributors’ payments to us are usually delayed as they will pay us after they receive payment from the state-owned hospitals. Therefore, as most of our customers are GSP certified distributors, we adopt a unified policy for bad debt allowance reserves for GMP’s customers who are typically GSP certified distributors. As is typical in the Chinese pharmaceutical market, there are no written contracts between the Company and any of its GSP certified distributors requesting the distributors to pay the Company’s account receivable upon their receipt of funds from the distributors’ customers, or state-owned hospitals. Nevertheless, the Company’s customers typically process the payment of the account receivable to the Company upon their receipt of payment from their customers, i.e., the state-owned hospitals, as a matter of implied consensus or industry standard. In the event the length of collection term is deviated from any of the past pattern of any particular customer, the Company will adjust its credit term.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amount of net accounts receivable that was past due (or the amount of accounts receivable that was more than 180 days old) was $0.01 million and $0.03 million as of December 31, 2023 and 2022,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illustrates our accounts receivable aging distribution in terms of the percentage of the total accounts receivable, respective gross accounts receivables as well as the allocated allowance for doubtful accounts as of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63"/>
        <w:gridCol w:w="92"/>
        <w:gridCol w:w="92"/>
        <w:gridCol w:w="836"/>
        <w:gridCol w:w="177"/>
        <w:gridCol w:w="92"/>
        <w:gridCol w:w="92"/>
        <w:gridCol w:w="836"/>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1 - 180 Days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180 - 365 Days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365 - 720 Days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&gt; 720 Days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96.40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97.44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100.01</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left"/>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815"/>
        <w:gridCol w:w="75"/>
        <w:gridCol w:w="75"/>
        <w:gridCol w:w="1160"/>
        <w:gridCol w:w="75"/>
        <w:gridCol w:w="75"/>
        <w:gridCol w:w="75"/>
        <w:gridCol w:w="1160"/>
        <w:gridCol w:w="75"/>
        <w:gridCol w:w="75"/>
        <w:gridCol w:w="75"/>
        <w:gridCol w:w="1160"/>
        <w:gridCol w:w="75"/>
        <w:gridCol w:w="75"/>
        <w:gridCol w:w="75"/>
        <w:gridCol w:w="1160"/>
        <w:gridCol w:w="75"/>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Gross Accounts</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Receivable Amount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Allocated Allowance for</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Doubtful Accounts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2022</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1-180 Days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495,366.30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391,046.24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180-365 Days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8,341.73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26,662.04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834.17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2,666.20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365-720 Days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13,825.83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21,628.33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9,678.08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15,139.83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Over 720 Days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13,845,897.46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16,721,720.98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13,845,897.46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16,721,720.98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14,363,431.33</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17,161,057.58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13,856,409.72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16,739,527.01</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left"/>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bad debt allowance estimate practice is that we consider accounts receivable balances aged within 180 days current, except for any individual uncollectible account assessed by management. We account for the following respective percentage as bad debt allowance based on age of the accounts receivables: 10% of accounts receivable that are between 180 days and 365 days old, 70% of accounts receivable that are between 365 days and 720 days old, and 100% of accounts receivable that are greater than 720 days old.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allowance for doubtful accounts as a percentage of accounts receivable was 96.5% and 97.5% as of December 31, 2023 and 2022, respectively. The 1% decrease is due to the write-off of accounts receivable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conduct analysis and review on accounts receivables for customers on a specific, per-customer basis in the fourth fiscal quarter of each fiscal year. For customers (i) whose business license has been cancelled or expired; (ii) whose key business certificates such as GSP (Good Supply Practice) license have been invalid or revoked; (iii) who have no ability to continue operations, or (iv) who are encountering other issues that lead to accounts receivable unrecoverable, the receivable will be written-off as per the resolution of our Board of Directors.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recognize bad debt expenses per actual write-offs as well as changes of allowance for doubtful accounts. To the extent that our current allowance for doubtful accounts is higher than that of the previous period, we recognize a bad debt expense for the difference during the current period, and when the current allowance is lower than that of the previous period, we recognize a bad debt credit for the difference. The allowance for doubtful account balances were $13.8 million and $16.7 million as of December 31, 2023 and December 31, 2022, respectively. The changes in the allowances for doubtful accounts during the years ended December 31, 2023 and 2022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46"/>
        <w:gridCol w:w="91"/>
        <w:gridCol w:w="110"/>
        <w:gridCol w:w="910"/>
        <w:gridCol w:w="93"/>
        <w:gridCol w:w="91"/>
        <w:gridCol w:w="110"/>
        <w:gridCol w:w="91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Fiscal Years Ended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16,739,527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18,312,707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benefit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(15,757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(93,851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write-offs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(2,671,896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(265,800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(1,479,329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16,739,527</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bad debt benefit for the year ended December 31, 2023 was $15,757, as compared to $93,851 in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Loss from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operating loss for the year ended December 31, 2023 was $2.8 million, compared to $3.5 million in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Net Interest Expense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interest expense was $0.33 million for the year ended December 31, 2023 and $0.42 million for the year ended December 31,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Net Loss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loss for the year ended December 31, 2023 was $3.1 million, compared to net loss of $3.9 million for the year ended December 31, 2022. The decrease in net loss was mainly a result of the decline in expenses more than the decline in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per basic and diluted common share was $0.91 for the year ended December 31, 2023 and $3.78 for the year ended December 31, 2022, respectively.</w:t>
      </w:r>
    </w:p>
    <w:p>
      <w:pPr>
        <w:spacing w:before="0" w:after="0"/>
        <w:ind w:left="0" w:right="0"/>
        <w:jc w:val="left"/>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number of basic and diluted weighted-average outstanding shares used to calculate loss per share was 3,383,573 for 2023, as compared to 1,051,371 for 2022.</w:t>
      </w:r>
    </w:p>
    <w:p>
      <w:pPr>
        <w:spacing w:before="0" w:after="0"/>
        <w:ind w:left="0" w:right="0"/>
        <w:jc w:val="left"/>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Liquidity and Capital Resources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principal source of liquidity is cash generated from operations, bank lines of credit and the convertible note payable. Currently the Company has not witnessed or expected to encounter any difficulties to refinance those lines of credit this year. As of December 31, 2023, the aggregated advance from our CEO was $1,133,809 for use in operations. Our cash and cash equivalents were $1.42 million, representing 8.6% of our total assets, as of December 31, 2023, as compared to $2.03 million, representing 11.4% of our total assets as of December 31, 2022. All of the $1.42 million of cash and cash equivalents as of December 31, 2023 are considered to be reinvested indefinitely in the Company’s Chinese subsidiary, Helpson, and are not expected to be available for payment of dividends or for other payments to its parent company or to its shareholders.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obtained various lines of credit in details described under Note 7 to its audited condensed consolidated financial statements contained in this annual report which is incorporated by reference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issued a convertible note to an institutional accredited investor as disclosed in Note 8 to the audited condensed consolidated financial statements contained in this report which is incorporated by reference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Although the Company obtained additional lines of credit in 2023, there can be no assurance that the Company will be able to achieve its future strategic goals, including the launch of new products. This raises substantial doubt about the Company’s ability to continue as a going concern. Although our Chairperson and Chief Executive Officer had advanced funds for working capital in 2023, there can be no assurances that this will continue in the future. We may seek additional debt or equity financing as necessary when we believe the market conditions are the most advantageous to us and/or require us to reduce certain discretionary spending, which could have a material adverse effect on our ability to achieve our business objectives.  There can be no assurance that any additional financing will be available on acceptable terms, if at all.</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Operating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cash used in operating activities was $0.70 million in the year ended December 31, 2023, compared to $0.41 million in 2022.</w:t>
      </w:r>
    </w:p>
    <w:p>
      <w:pPr>
        <w:spacing w:before="0" w:after="0"/>
        <w:ind w:left="0" w:right="0" w:firstLine="916"/>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2023, our net accounts receivable was $0.50 million, an increase of $0.08 million from $0.42 million as of December 31,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2023, total inventory was $3.7 million, compared to $2.9 million as of December 31,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Investing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year ended December 31, 2023, net cash used in investing activities was $0.01 million, compared to $0.40 million for the year ended December 31,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Financing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Cash flow provided by financing activities was $0.07 million in the year ended December 31, 2023; compared to cash flow used in financing activities of $1.77 million in the year ended December 31,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relevant PRC laws, companies registered in the PRC, including our PRC subsidiary, Helpson, are required to allocate at least ten percent (10%) of their after-tax net income, as determined under the accounting standards and regulations in the PRC, to statutory surplus reserve accounts until the reserve account balances reach fifty percent (50%) of the companies’ registered capital prior to their remittance of funds out of the PRC.  Allocations to these reserves and funds can only be used for specific purposes and are not transferrable to the parent company in the form of loans, advances or cash dividends. As of December 31, 2023 and December 31, 2022, Helpson’s net assets totaled $(2,289,000) and $(190,000), respectively. Due to the restriction on dividend distribution to overseas shareholders, the amount of Helpson’s net assets that was designated for general and statutory capital reserves, and thus could not be transferred to our parent company as cash dividends, was 50% of Helpson’s registered capital, which was both $8,145,000 as of December 31, 2023 and December 31, 2022, respectively. The amount that Helpson must set aside for the statutory surplus fund accounts exceeds its total net assets at December 31, 2023 and 2022.  There were no allocations to the statutory surplus reserve accounts during the twelve months ended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Chinese government also imposes controls on the conversion of RMB into foreign currencies and the remittance of currencies out of China.  Our businesses and assets are primarily denominated in RMB.  All foreign exchange transactions take place either through the People’s Bank of China or other banks authorized to buy and sell foreign currencies at the exchange rates quoted by the People’s Bank of China. Approval of foreign currency payments by the People’s Bank of China or other regulatory institutions requires the submission of a payment application form together with certain invoices and executed contracts. The currency exchange control procedures imposed by Chinese government authorities may restrict the ability of Helpson, our Chinese subsidiary, to transfer its net assets to our parent company through loans, advances or cash dividends.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Off-Balance Sheet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2023, we did not have any off-balance sheet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Critical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Management’s discussion and analysis of our financial condition and results of operations are based upon our consolidated financial statements, which have been prepared in accordance with United States generally accepted accounting principles (“GAAP”). Our financial statements reflect the selection and application of accounting policies which require management to make significant estimates and judgments. Please refer to Note 1 to our consolidated financial statements, “Organization and Significant Accounting Policies” for the discussion of our critical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2" w:name="a_012"/>
      <w:bookmarkEnd w:id="12"/>
      <w:r>
        <w:rPr>
          <w:rFonts w:ascii="Times New Roman" w:eastAsia="Times New Roman" w:hAnsi="Times New Roman" w:cs="Times New Roman"/>
          <w:b/>
          <w:bCs/>
          <w:i w:val="0"/>
          <w:iCs w:val="0"/>
          <w:smallCaps w:val="0"/>
          <w:sz w:val="20"/>
          <w:szCs w:val="20"/>
        </w:rPr>
        <w:t>ITEM 7A. QUANTITATIVE AND QUALITATIVE DISCLOSURES ABOUT MARKET RISK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Smaller reporting companies are not required to provide the information required by this item.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3" w:name="a_013"/>
      <w:bookmarkEnd w:id="13"/>
      <w:r>
        <w:rPr>
          <w:rFonts w:ascii="Times New Roman" w:eastAsia="Times New Roman" w:hAnsi="Times New Roman" w:cs="Times New Roman"/>
          <w:b/>
          <w:bCs/>
          <w:i w:val="0"/>
          <w:iCs w:val="0"/>
          <w:smallCaps w:val="0"/>
          <w:sz w:val="20"/>
          <w:szCs w:val="20"/>
        </w:rPr>
        <w:t>ITEM 8. FINANCIAL STATEMENTS AND SUPPLEMENTARY DATA</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consolidated balance sheets, as of December 31, 2023 and 2022, and the related consolidated statements of operations and comprehensive loss, stockholders’ equity and cash flows for each of the two years in the period ended December 31, 2023 and 2022, together with the related notes and the report of our independent registered public accounting firms, are set forth on the “F” pages of this report.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4" w:name="a_014"/>
      <w:bookmarkEnd w:id="14"/>
      <w:r>
        <w:rPr>
          <w:rFonts w:ascii="Times New Roman" w:eastAsia="Times New Roman" w:hAnsi="Times New Roman" w:cs="Times New Roman"/>
          <w:b/>
          <w:bCs/>
          <w:i w:val="0"/>
          <w:iCs w:val="0"/>
          <w:smallCaps w:val="0"/>
          <w:sz w:val="20"/>
          <w:szCs w:val="20"/>
        </w:rPr>
        <w:t>ITEM 9. CHANGES IN AND DISAGREEMENTS WITH ACCOUNTANTS ON ACCOUNTING AND FINANCIAL DISCLOSURE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5" w:name="a_015"/>
      <w:bookmarkEnd w:id="15"/>
      <w:r>
        <w:rPr>
          <w:rFonts w:ascii="Times New Roman" w:eastAsia="Times New Roman" w:hAnsi="Times New Roman" w:cs="Times New Roman"/>
          <w:b/>
          <w:bCs/>
          <w:i w:val="0"/>
          <w:iCs w:val="0"/>
          <w:smallCaps w:val="0"/>
          <w:sz w:val="20"/>
          <w:szCs w:val="20"/>
        </w:rPr>
        <w:t>ITEM 9A. CONTROLS AND PROCEDURES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Evaluation of Disclosure Controls and Procedures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maintain disclosure controls and procedures (as defined in Rule 13a-15(e) under the Exchange Act) that are designed to ensure that information that would be required to be disclosed in Exchange Act reports is recorded, processed, summarized and reported within the time period specified in the SEC’s rules and forms, and that such information is accumulated and communicated to our management, including to our Chief Executive Officer and interim Chief Financial Officer, as appropriate, to allow timely decisions regarding required disclosure.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required by Rule 13a-15 under the Exchange Act, our management, including our Chief Executive Officer and interim Chief Financial Officer, evaluated the effectiveness of the design and operation of our disclosure controls and procedures as of December 31, 2023. Based on that evaluation, our Chief Executive Officer and interim Chief Financial Officer concluded that as of December 31, 2023, our disclosure controls and procedures were not effective to satisfy the objectives for which they are intended due to the material weakness in our internal control over financial reporting discussed below.</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Management’s Report on Internal Control over Financial Reporting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management is responsible for establishing and maintaining adequate internal control over our financial reporting. Internal control over financial reporting is defined in Rule 13a-15(f) or 15d-15(f) under the Exchange Act as a process designed by, or under the supervision of, a company’s principal executive and principal financial officers, or persons performing similar functions, and effected by a company’s board of directors, management and other personnel to provide reasonable assurance regarding the reliability of financial reporting and the preparation of financial statements for external purposes in accordance with U.S. generally accepted accounting principles and includes those policies and procedures that (i) pertain to the maintenance of records that, in reasonable detail, accurately and fairly reflect the transactions and dispositions of the assets of a company; (ii) provide reasonable assurance that transactions are recorded as necessary to permit preparation of financial statements in accordance with U.S. generally accepted accounting principles and that receipts and expenditures of a company are being made only in accordance with authorizations of management and directors of a company; and (iii) provide reasonable assurance regarding prevention or timely detection of unauthorized acquisition, use or disposition of a company’s assets that could have a material effect on the financial statements.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Any system of internal control, no matter how well designed, has inherent limitations, including the possibility that a control can be circumvented or overridden and misstatements due to error or fraud may occur and not be detected in a timely manner. Also, because of changes in conditions, internal control effectiveness may vary over time. Accordingly, even an effective system of internal control will provide only reasonable assurance with respect to financial statement preparation. In addition, the design of any system of controls is based in part on certain assumptions about the likelihood of future events, and there can be no assurance that any design will succeed in achieving its stated goals under all potential future conditions. Over time, controls may become inadequate because of changes in conditions or deterioration in the degree of compliance with policies or procedures. Therefore, any current evaluation of controls cannot and should not be projected to future periods.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 assessed our internal control over financial reporting as of the year ended December 31, 2023. In making this assessment, management used the criteria set forth in 2013 by the Committee of Sponsoring Organizations of the Treadway Commission (COSO) in the report entitled “Internal Control-Integrated Framework.” The 2013 COSO framework summarizes each of the components of a company’s internal control system, including (i) the control environment, (ii) risk assessment, (iii) control activities, (iv) information and communication, and (v) monitoring.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Based on management’s assessment using the COSO criteria, management has concluded that our internal control over financial reporting was not effective as of December 31, 2023, to allow our management, employees and consultants, in the normal course of performing their assigned functions, to prevent or detect misstatements on a timely and reasonable basis and to provide reasonable assurance regarding the reliability of financial reporting and the preparation of financial statements for external reporting purposes in accordance with U.S. generally accepted accounting principles (“U.S. GAAP”).</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 material weakness is a control deficiency, or combination of control deficiencies, that results in more than a remote likelihood that a material misstatement of the annual or interim financial statements will not be prevented or detected. Our Chief Executive Officer and interim Chief Financial Officer has determined there existed a material weakness in our internal control over financial reporting as of December 31, 2023, with respect to our lack of accounting financial reporting personnel knowledgeable in US GAAP. As of the date of this report, we are undertaking steps to address the aforementioned material weaknesses by obtaining education and training for our personnel regarding the proper accounting under U.S. GAAP and reviewing the processes to correct the identified weaknesses. Notwithstanding these material weaknesses, management has concluded that our consolidated financial statements included in this annual report are fairly stated in all material respects in accordance with U.S. GAAP for each period presented herein.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Because we are a smaller reporting company, this Annual Report on Form 10-K does not include an attestation report of our independent registered public accounting firm regarding internal control over financial reporting.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Changes in Internal Controls over Financial Reporting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changes in our internal control over financial reporting identified in connection with the evaluation required by paragraph (d) of Exchange Act Rules 13a-15 or 15d-15 that occurred during our last fiscal quarter that have materially affected, or are reasonably likely to materially affect, our internal control over financial reporting.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6" w:name="a_016"/>
      <w:bookmarkEnd w:id="16"/>
      <w:r>
        <w:rPr>
          <w:rFonts w:ascii="Times New Roman" w:eastAsia="Times New Roman" w:hAnsi="Times New Roman" w:cs="Times New Roman"/>
          <w:b/>
          <w:bCs/>
          <w:i w:val="0"/>
          <w:iCs w:val="0"/>
          <w:smallCaps w:val="0"/>
          <w:sz w:val="20"/>
          <w:szCs w:val="20"/>
        </w:rPr>
        <w:t>ITEM 9B. OTHER INFORMATION.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Trading Plans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fiscal quarter ended December 31, 2023, none of our directors or officers adopted or terminated a “Rule 10b5-1 trading arrangement” or a “non-Rule 10b5-1 trading arrangement”, as those terms are defined in Regulation S-K, Item 408.</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7" w:name="a_017"/>
      <w:bookmarkEnd w:id="17"/>
      <w:r>
        <w:rPr>
          <w:rFonts w:ascii="Times New Roman" w:eastAsia="Times New Roman" w:hAnsi="Times New Roman" w:cs="Times New Roman"/>
          <w:b/>
          <w:bCs/>
          <w:i w:val="0"/>
          <w:iCs w:val="0"/>
          <w:caps/>
          <w:smallCaps w:val="0"/>
          <w:sz w:val="20"/>
          <w:szCs w:val="20"/>
        </w:rPr>
        <w:t>Item 9C. Disclosure Regarding Foreign Jurisdiction that Prevent Inspections.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cap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18" w:name="a_018"/>
      <w:bookmarkEnd w:id="18"/>
      <w:r>
        <w:rPr>
          <w:rFonts w:ascii="Times New Roman" w:eastAsia="Times New Roman" w:hAnsi="Times New Roman" w:cs="Times New Roman"/>
          <w:b/>
          <w:bCs/>
          <w:i w:val="0"/>
          <w:iCs w:val="0"/>
          <w:smallCaps w:val="0"/>
          <w:sz w:val="20"/>
          <w:szCs w:val="20"/>
        </w:rPr>
        <w:t>PART III</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9" w:name="a_019"/>
      <w:bookmarkEnd w:id="19"/>
      <w:r>
        <w:rPr>
          <w:rFonts w:ascii="Times New Roman" w:eastAsia="Times New Roman" w:hAnsi="Times New Roman" w:cs="Times New Roman"/>
          <w:b/>
          <w:bCs/>
          <w:i w:val="0"/>
          <w:iCs w:val="0"/>
          <w:smallCaps w:val="0"/>
          <w:sz w:val="20"/>
          <w:szCs w:val="20"/>
        </w:rPr>
        <w:t>ITEM 10. DIRECTORS, EXECUTIVE OFFICERS AND CORPORATE GOVERNANCE.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General</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Listed below are the names and ages of all our directors and executive officers as of March 24, 2024, along with their positions, offices and term:</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1871"/>
        <w:gridCol w:w="94"/>
        <w:gridCol w:w="748"/>
        <w:gridCol w:w="94"/>
        <w:gridCol w:w="6548"/>
      </w:tblGrid>
      <w:tr>
        <w:tblPrEx>
          <w:tblW w:w="5000" w:type="pct"/>
          <w:tblInd w:w="5" w:type="dxa"/>
          <w:tblCellMar>
            <w:top w:w="0" w:type="dxa"/>
            <w:left w:w="0" w:type="dxa"/>
            <w:bottom w:w="0" w:type="dxa"/>
            <w:right w:w="0" w:type="dxa"/>
          </w:tblCellMar>
        </w:tblPrEx>
        <w:tc>
          <w:tcPr>
            <w:tcW w:w="1000" w:type="pct"/>
            <w:tcBorders>
              <w:bottom w:val="single" w:sz="12" w:space="0" w:color="000000"/>
            </w:tcBorders>
            <w:noWrap w:val="0"/>
            <w:tcMar>
              <w:top w:w="5" w:type="dxa"/>
              <w:left w:w="5" w:type="dxa"/>
              <w:bottom w:w="1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w:t>
            </w:r>
          </w:p>
        </w:tc>
        <w:tc>
          <w:tcPr>
            <w:tcW w:w="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Age</w:t>
            </w:r>
          </w:p>
        </w:tc>
        <w:tc>
          <w:tcPr>
            <w:tcW w:w="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0" w:type="pct"/>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Position</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Zhilin Li</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Chairperson, President, Chief Executive Officer and interim Chief Financial Officer</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Heung Mei Tsui</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Gene Michael Bennett</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Independent Director</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Yingwen Zhang</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Independent Director</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Baowen Dong</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Independent Director</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All of our independent directors hold offices until our next annual meeting of the stockholders, at which a successor will be duly elected and qualified or until his or her earlier resignation, removal from office, death or incapacity. Non-independent directors will hold office for a term of three (3) years or when their respective successors shall have been elected and shall qualify, or upon their prior death, resignation or removal. Directors may be re-elected for successive terms. Officers serve at the discretion of the board of directors.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sets forth biographical information regarding the above directors and executive officers.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Zhilin Li</w:t>
      </w:r>
      <w:r>
        <w:rPr>
          <w:rFonts w:ascii="Times New Roman" w:eastAsia="Times New Roman" w:hAnsi="Times New Roman" w:cs="Times New Roman"/>
          <w:b w:val="0"/>
          <w:bCs w:val="0"/>
          <w:i w:val="0"/>
          <w:iCs w:val="0"/>
          <w:smallCaps w:val="0"/>
          <w:sz w:val="20"/>
          <w:szCs w:val="20"/>
        </w:rPr>
        <w:t xml:space="preserve"> is the Chairperson, President, Chief Executive Officer and interim Chief Financial Officer of our company. She has served as a director since 2006 and as the President and Chief Executive Officer since 2005. She was a founder of Helpson, and served as Chairperson and Chief Executive Officer of Helpson from 1993 to 2005. Ms. Li was formerly the president of Haikou Bio-Engineering Institute as well as the vice president of Sichuan Institute of Biology. She graduated from Sichuan University with a degree in biology.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Heung Mei Tsui</w:t>
      </w:r>
      <w:r>
        <w:rPr>
          <w:rFonts w:ascii="Times New Roman" w:eastAsia="Times New Roman" w:hAnsi="Times New Roman" w:cs="Times New Roman"/>
          <w:b/>
          <w:bCs/>
          <w:i w:val="0"/>
          <w:iCs w:val="0"/>
          <w:smallCaps w:val="0"/>
          <w:sz w:val="20"/>
          <w:szCs w:val="20"/>
        </w:rPr>
        <w:t> </w:t>
      </w:r>
      <w:r>
        <w:rPr>
          <w:rFonts w:ascii="Times New Roman" w:eastAsia="Times New Roman" w:hAnsi="Times New Roman" w:cs="Times New Roman"/>
          <w:b w:val="0"/>
          <w:bCs w:val="0"/>
          <w:i w:val="0"/>
          <w:iCs w:val="0"/>
          <w:smallCaps w:val="0"/>
          <w:sz w:val="20"/>
          <w:szCs w:val="20"/>
        </w:rPr>
        <w:t>has served as a director of the Company since April 28, 2009. Previously, Ms. Tsui served as a member of our board from October 2005 to February 2008. Ms. Tsui has been a self-employed businesswoman engaged in strategic investments and was previously engaged in the pharmaceutical chemical raw material import/export business. Ms. Tsui graduated from Hunan Financial&amp; Economic College in 1982.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Gene Michael Bennett</w:t>
      </w:r>
      <w:r>
        <w:rPr>
          <w:rFonts w:ascii="Times New Roman" w:eastAsia="Times New Roman" w:hAnsi="Times New Roman" w:cs="Times New Roman"/>
          <w:b w:val="0"/>
          <w:bCs w:val="0"/>
          <w:i w:val="0"/>
          <w:iCs w:val="0"/>
          <w:smallCaps w:val="0"/>
          <w:sz w:val="20"/>
          <w:szCs w:val="20"/>
        </w:rPr>
        <w:t xml:space="preserve"> has served as our independent director since February 2008. Presently, Mr. Bennett is Chairperson of the board of directors for Bonita Healthcare Ltd, Houston, Texas, USA, and Chairperson of the Board of Redwood Senior Living Inc. located in Alameda County, California, USA. From 2013 through 2015 Mr. Bennett served as part-time CFO for Kang Jia Fu, Royal Traditional Health Investment Management Co. Ltd, located in Wuxi, Jiangsu Province, China and advisor to Swiss Capital Asia, located in Hong Kong. From 2009 through 2013, Mr. Bennett served as the CEO of American General Business Association, located in Beijing, China. Mr. Bennett was a partner of Nexis Investment Consulting Corporation based in Beijing from 2004-2009. He was a partner of ProCFO Company based in California which provided contract chief financial officer service for firms during 2000-2004. During 1998-2000, he was a basic law, accounting and tax professor at University of Hawaii, and an accounting, tax and audit professor at Chaminade University of Honolulu, Hawaii, USA. In addition, he previously served as the chief financial officer and member of the board of directors of Argonaut Computers in Southern California. Mr. Bennett worked as an accounting and audit professor at Chapman University and an accounting, tax, and audit professor at California State University at Fullerton. He also acted as chief financial officer and a board member of the National Automobile Club. Mr. Bennett graduated from Michigan State University with an MBA in Finance and BA in Accounting. He obtained his CPA license from the State of Colorado, which is currently inactive.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Yingwen Zhang</w:t>
      </w:r>
      <w:r>
        <w:rPr>
          <w:rFonts w:ascii="Times New Roman" w:eastAsia="Times New Roman" w:hAnsi="Times New Roman" w:cs="Times New Roman"/>
          <w:b w:val="0"/>
          <w:bCs w:val="0"/>
          <w:i w:val="0"/>
          <w:iCs w:val="0"/>
          <w:smallCaps w:val="0"/>
          <w:sz w:val="20"/>
          <w:szCs w:val="20"/>
        </w:rPr>
        <w:t xml:space="preserve"> has served as our independent director since February 2008. He also currently serves as a consultant of Shanghai Reseat Medical Tech Co. Ltd., a medical device producer. He acted as Senior Consultant and Chairperson of HSE (Health Safe and Environment) Committee of SINOFERT Holdings Limited (HKG: 0297) of SINOCHEM Group from October 2005 to June 2009. He served as an independent director of a public company, Chongqing New Energy Co., Ltd. (SH.600847), from 2007 to 2018. Additionally, Mr. Zhang was appointed as the Commercial Counselor of the China Embassy in Malaysia from March 2000 through October 2005. Prior to that, from 1988 to 2000, Mr. Zhang was appointed as the Director-General to Sichuan Provincial Foreign Trade and Economic Cooperation Bureau (the Commercial Bureau of Sichuan Province, China). In his early career he was a chemical engineer and senior economist, and then became a senior manager for several chemical corporations in China. From 1983 to 1988, Mr. Zhang served as vice CEO and then CEO of a large nature gas-chemical state owned enterprise (SOE) in the PRC affiliated with the SINOPEC Group. Mr. Zhang graduated from the Chemical Engineering Department of Tianjin University in 1967.</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Baowen Dong</w:t>
      </w:r>
      <w:r>
        <w:rPr>
          <w:rFonts w:ascii="Times New Roman" w:eastAsia="Times New Roman" w:hAnsi="Times New Roman" w:cs="Times New Roman"/>
          <w:b w:val="0"/>
          <w:bCs w:val="0"/>
          <w:i w:val="0"/>
          <w:iCs w:val="0"/>
          <w:smallCaps w:val="0"/>
          <w:sz w:val="20"/>
          <w:szCs w:val="20"/>
        </w:rPr>
        <w:t xml:space="preserve"> has served as our independent director since February 2008. Mr. Dong participated on the expert team of the Sichuan University from 2003 to 2008, doing teaching evaluation and assessment work in Engineering and Medical Science faculty. In the past few years, Mr. Dong has focused on the research of China’s Health Care Reform. Previously, he concentrated on biomedical and medical information researches. Mr. Dong has had different roles in areas of teaching and research, including serving as a department head and a professor, at Sichuan University from 1974 to 2001. Additionally, Mr. Dong was engaged in the field of communication technology from 1966 to 1974. Mr. Dong graduated from Xidian University in 1966.</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Family Relationships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are no family relationships among our directors or executive officers.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Director or Officer Involvement in Certain Legal Proceedings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our knowledge, our directors and executive officers were not involved in any legal proceedings as described in Item 401(f) of Regulation S-K in the past ten years.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Section 16(a) Beneficial Ownership Reporting Compliance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Section 16(a) of the Securities Exchange Act of 1934, as amended, requires our directors, executive officers and persons who own more than 10% a registered class of our equity securities (“Reporting Persons”), to file reports of ownership and changes in ownership on Forms 3, 4 and 5 with the SEC. The Reporting Persons are also required by SEC rules to furnish us with copies of Section 16(a) forms they file. Based upon a review of the filings made on their behalf during the fiscal year ended December 31, 2023 as well as an examination of the SEC’s EDGAR system Form 3, 4, and 5 filings (including amendments to such forms) and our records, we believe that, during the year ended December 31, 2023, the Reporting Persons met all applicable Section 16(a) filing requirements except for the following: (i) Zhilin Li did not timely file Form 4 after being granted 2,751,413 (pre-reverse stock split, 13,757,063 shares) shares on September 29, 2023. However, the Form 4 corresponding to the transaction was subsequently filed on October 19, 2023; and (ii) Tao Liu did not timely file Form 3 after being granted 3,000,000 (pre-reverse stock split, 15,000,000 shares) shares on December 28, 2023. However, the Form 3 corresponding to the transaction was subsequently filed on January 26,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Code of Ethics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July 8, 2008, we adopted a code of business conduct and ethics for all directors and employees (including officers) within the meaning of the regulations adopted by the SEC under Section 406 of the Sarbanes-Oxley Act of 2002. The code has been designed to deter wrongdoing and promote (i) honest and ethical conduct, including the ethical handling of actual or apparent conflicts of interest between personal and professional relationships, (ii) full, fair, accurate, timely, and understandable disclosure in reports and documents that we file with, or submit to, the SEC and in other public communications made by us, (iii) compliance with applicable governmental laws, rules and regulations, (iv) the prompt internal reporting of violations of the code to an appropriate person or persons, and (v) accountability for adherence to the code. The application of the code to the persons it applies to may only be waived by our Board of Directors in accordance with SEC regulations and the Sarbanes-Oxley Act of 2002. A copy of the code is available on our website at </w:t>
      </w:r>
      <w:r>
        <w:rPr>
          <w:rFonts w:ascii="Times New Roman" w:eastAsia="Times New Roman" w:hAnsi="Times New Roman" w:cs="Times New Roman"/>
          <w:b w:val="0"/>
          <w:bCs w:val="0"/>
          <w:i w:val="0"/>
          <w:iCs w:val="0"/>
          <w:smallCaps w:val="0"/>
          <w:sz w:val="20"/>
          <w:szCs w:val="20"/>
        </w:rPr>
        <w:t>www.chinapharmaholdings.com</w:t>
      </w:r>
      <w:r>
        <w:rPr>
          <w:rFonts w:ascii="Times New Roman" w:eastAsia="Times New Roman" w:hAnsi="Times New Roman" w:cs="Times New Roman"/>
          <w:b w:val="0"/>
          <w:bCs w:val="0"/>
          <w:i w:val="0"/>
          <w:iCs w:val="0"/>
          <w:smallCaps w:val="0"/>
          <w:sz w:val="20"/>
          <w:szCs w:val="20"/>
        </w:rPr>
        <w:t xml:space="preserve"> or may be obtained by sending a written request to our corporate secretary at China Pharma Holdings, Inc., Second Floor, No. 17, Jinpan Road, Haikou, Hainan Province, China 570216.</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Audit Committee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February 1, 2008, we established an audit committee, which currently consists of our three independent directors: Gene Michael Bennett, Yingwen Zhang and Baowen Dong. Mr. Bennett, the Chairperson of the Audit Committee, is an “audit committee financial expert” as defined in Item 401(d)(5) of Regulation S-K promulgated under the Securities Act. The audit committee carries out its responsibilities in accordance with the terms of its Audit Committee Charter, a copy of which attached as Exhibit 99.1 to our Annual Report on Form 10-K filed on March 17, 2009, and available on our website at </w:t>
      </w:r>
      <w:r>
        <w:rPr>
          <w:rFonts w:ascii="Times New Roman" w:eastAsia="Times New Roman" w:hAnsi="Times New Roman" w:cs="Times New Roman"/>
          <w:b w:val="0"/>
          <w:bCs w:val="0"/>
          <w:i w:val="0"/>
          <w:iCs w:val="0"/>
          <w:smallCaps w:val="0"/>
          <w:sz w:val="20"/>
          <w:szCs w:val="20"/>
        </w:rPr>
        <w:t>www.chinapharmaholdings.com</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0" w:name="a_020"/>
      <w:bookmarkEnd w:id="20"/>
      <w:r>
        <w:rPr>
          <w:rFonts w:ascii="Times New Roman" w:eastAsia="Times New Roman" w:hAnsi="Times New Roman" w:cs="Times New Roman"/>
          <w:b/>
          <w:bCs/>
          <w:i w:val="0"/>
          <w:iCs w:val="0"/>
          <w:smallCaps w:val="0"/>
          <w:sz w:val="20"/>
          <w:szCs w:val="20"/>
        </w:rPr>
        <w:t>ITEM 11. EXECUTIVE COMPENSATION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Summary of Executive Compensation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sets forth information concerning all cash and non-cash compensation awarded to, earned by or paid to our principal executive officer and principal financial officer during the last two fiscal years in all capacities to our Company and our subsidiaries. No other executive officer received compensation in excess of $100,000 during the fiscal year ended December 31, 2023.</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SUMMARY COMPENSATION TABLE</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1470"/>
        <w:gridCol w:w="16"/>
        <w:gridCol w:w="72"/>
        <w:gridCol w:w="500"/>
        <w:gridCol w:w="16"/>
        <w:gridCol w:w="16"/>
        <w:gridCol w:w="16"/>
        <w:gridCol w:w="660"/>
        <w:gridCol w:w="16"/>
        <w:gridCol w:w="16"/>
        <w:gridCol w:w="239"/>
        <w:gridCol w:w="320"/>
        <w:gridCol w:w="16"/>
        <w:gridCol w:w="16"/>
        <w:gridCol w:w="297"/>
        <w:gridCol w:w="391"/>
        <w:gridCol w:w="16"/>
        <w:gridCol w:w="16"/>
        <w:gridCol w:w="297"/>
        <w:gridCol w:w="391"/>
        <w:gridCol w:w="16"/>
        <w:gridCol w:w="16"/>
        <w:gridCol w:w="546"/>
        <w:gridCol w:w="697"/>
        <w:gridCol w:w="16"/>
        <w:gridCol w:w="16"/>
        <w:gridCol w:w="546"/>
        <w:gridCol w:w="697"/>
        <w:gridCol w:w="16"/>
        <w:gridCol w:w="16"/>
        <w:gridCol w:w="120"/>
        <w:gridCol w:w="1123"/>
        <w:gridCol w:w="16"/>
        <w:gridCol w:w="16"/>
        <w:gridCol w:w="16"/>
        <w:gridCol w:w="660"/>
        <w:gridCol w:w="16"/>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Non-Equity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Nonqualified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Incentive Plan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Deferred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All 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 and principal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Salary</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Bonus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Awards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Awards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Compensation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Compensation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Compensation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position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Ended</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Earnings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117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Zhilin Li</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2023</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225,600</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16,000</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241,600</w:t>
            </w:r>
          </w:p>
        </w:tc>
        <w:tc>
          <w:tcPr>
            <w:tcW w:w="25"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205" w:type="dxa"/>
              <w:bottom w:w="5" w:type="dxa"/>
              <w:right w:w="5" w:type="dxa"/>
            </w:tcMar>
            <w:vAlign w:val="bottom"/>
            <w:hideMark/>
          </w:tcPr>
          <w:p>
            <w:pPr>
              <w:ind w:hanging="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Chairperson, Chief</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225,600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241,600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205" w:type="dxa"/>
              <w:bottom w:w="5" w:type="dxa"/>
              <w:right w:w="5" w:type="dxa"/>
            </w:tcMar>
            <w:vAlign w:val="bottom"/>
            <w:hideMark/>
          </w:tcPr>
          <w:p>
            <w:pPr>
              <w:ind w:hanging="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Executive Officer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President and interim Chief Financial Officer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Employment Agreements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Zhilin Li</w:t>
      </w:r>
      <w:r>
        <w:rPr>
          <w:rFonts w:ascii="Times New Roman" w:eastAsia="Times New Roman" w:hAnsi="Times New Roman" w:cs="Times New Roman"/>
          <w:b w:val="0"/>
          <w:bCs w:val="0"/>
          <w:i w:val="0"/>
          <w:iCs w:val="0"/>
          <w:smallCaps w:val="0"/>
          <w:sz w:val="20"/>
          <w:szCs w:val="20"/>
        </w:rPr>
        <w:t>. Hainan Helpson Medical &amp; Biotechnology Co., Ltd., our wholly-owned subsidiary and operating entity in the PRC (“Helpson”), entered into an employment agreement with Ms. Zhilin Li, our Chairperson of the Board and Chief Executive Officer. Upon the expiration of the original agreement, Helpson renewed the agreement with Ms. Li on the same terms as the original agreement. The new employment agreement will expire on June 30, 2025. Pursuant to the terms of the new employment agreement, Ms. Li agreed to continue to serve as Helpson’s Chief Executive Officer for a term of five years at an annual salary of RMB800,000. Helpson may adjust Ms. Li’s compensation based upon her production and operating achievement and her technical ability and working performance. Ms. Li’s total annual cash compensation for the fiscal year ended December 31, 2023, when aggregated with her compensation from our U.S. holding company level, was $241,600.</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Payments upon Termination or Change-in-Control</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PRC Law. </w:t>
      </w:r>
      <w:r>
        <w:rPr>
          <w:rFonts w:ascii="Times New Roman" w:eastAsia="Times New Roman" w:hAnsi="Times New Roman" w:cs="Times New Roman"/>
          <w:b w:val="0"/>
          <w:bCs w:val="0"/>
          <w:i w:val="0"/>
          <w:iCs w:val="0"/>
          <w:smallCaps w:val="0"/>
          <w:sz w:val="20"/>
          <w:szCs w:val="20"/>
        </w:rPr>
        <w:t>Under the applicable laws of the PRC, we must pay severance to all employees who are Chinese nationals and who are terminated with or without cause, or whose employment agreement with us expires and we choose not to continue their employment. The severance benefit required to be paid under the laws of the PRC equals the average monthly compensation paid to the terminated employee (including any bonuses or other payments made in the 12 months prior to the employee’s termination) multiplied by the number of years the employee has been employed with us, plus an additional month’s salary if 30 days’ prior notice of such termination has not been given. However, if the average monthly compensation to be received by the terminated employee exceeds three times the average monthly salary of the employee’s local area, as determined and published by the local government, such average monthly compensation shall be capped at three times the average monthly salary of the employee’s local area. Except as described above, our executive officer does not have any other agreement or arrangement under which she may be entitled to severance payments upon termination of employment.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Outstanding Equity Awards at Fiscal Year-End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Discussion of Summary Compensation and Grants of Plan-based Awards Tables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 summary of certain material terms of our existing compensation plans and arrangements is set forth below.</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12, 2010, our Board of Directors adopted, and on December 22, 2010 our stockholders approved the 2010 Long-Term Incentive Plan (the “2010 Incentive Plan”). On October 17, 2019, the Board of Directors approved the First Amendment to the 2010 Incentive Plan (the “Amendment No. 1”), pursuant to which the term of the 2010 Incentive Plan shall be extended to December 31, 2029. The Amendment No. 1 was adopted by the stockholders on December 19, 2019. The 2010 Incentive Plan, as amended, gave us the ability to grant stock options, restricted stock, stock appreciation rights and performance units to employees, directors and consultants, or those who will become employees, directors and consultants of our company and/or our subsidiaries. On October 25, 2021, our Board of Directors approved, and on December 27, 2021 our stockholders adopted the Amendment No.2 to our Long-Term 2010 Incentive Plan (the “Plan”) to increase the number of shares of the Common Stock, that are reserved thereunder by 100,000 (500,000 pre reverse stock split) shares from 80,000 (400,000 pre reverse stock split) shares to 180,000 (900,000 pre reverse stock split) shares (the “Amendment”).  On October 27, 2022, the Board of Directors approved and on December 27, 2022, the stockholders adopted the Amended and Restated Long Term 2010 Incentive Plan to increase the number of shares of common stock that are reserved thereunder by an additional 100,000 (500,000 pre reverse stock split) shares from 180,000 (900,000 pre reverse stock split) to 280,000 (1,400,000 pre reverse stock split). On October 18, 2023, the Board of Directors approved and on December 17, 2023, the stockholders adopted the Amendment No.1 to the Amended and Restated Long Term 2010 Incentive Plan to increase the number of shares of common stock that are reserved thereunder by an additional 300,000 (1,500,000 pre reverse stock split) shares from 280,000 (1,400,000 pre reverse stock split) to 580,000 (2,900,000 pre reverse stock split). As of March 24, 2024, 482,000 shares of restricted stock were outstanding, and no options were outstanding.</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Director Compensation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sets forth information concerning cash and non-cash compensation earned by or paid to our directors during the year ended December 31, 2023.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1605"/>
        <w:gridCol w:w="63"/>
        <w:gridCol w:w="81"/>
        <w:gridCol w:w="684"/>
        <w:gridCol w:w="63"/>
        <w:gridCol w:w="63"/>
        <w:gridCol w:w="142"/>
        <w:gridCol w:w="666"/>
        <w:gridCol w:w="63"/>
        <w:gridCol w:w="63"/>
        <w:gridCol w:w="172"/>
        <w:gridCol w:w="654"/>
        <w:gridCol w:w="63"/>
        <w:gridCol w:w="63"/>
        <w:gridCol w:w="193"/>
        <w:gridCol w:w="1051"/>
        <w:gridCol w:w="63"/>
        <w:gridCol w:w="63"/>
        <w:gridCol w:w="193"/>
        <w:gridCol w:w="1051"/>
        <w:gridCol w:w="63"/>
        <w:gridCol w:w="63"/>
        <w:gridCol w:w="193"/>
        <w:gridCol w:w="1051"/>
        <w:gridCol w:w="63"/>
        <w:gridCol w:w="63"/>
        <w:gridCol w:w="63"/>
        <w:gridCol w:w="675"/>
        <w:gridCol w:w="63"/>
      </w:tblGrid>
      <w:tr>
        <w:tblPrEx>
          <w:tblW w:w="5000" w:type="pct"/>
          <w:tblInd w:w="5" w:type="dxa"/>
          <w:tblCellMar>
            <w:top w:w="0" w:type="dxa"/>
            <w:left w:w="0" w:type="dxa"/>
            <w:bottom w:w="0" w:type="dxa"/>
            <w:right w:w="0" w:type="dxa"/>
          </w:tblCellMar>
        </w:tblPrEx>
        <w:tc>
          <w:tcPr>
            <w:gridSpan w:val="29"/>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DIRECTOR COMPENSATION</w:t>
            </w:r>
          </w:p>
        </w:tc>
      </w:tr>
      <w:tr>
        <w:tblPrEx>
          <w:tblW w:w="5000" w:type="pct"/>
          <w:tblInd w:w="5" w:type="dxa"/>
          <w:tblCellMar>
            <w:top w:w="0" w:type="dxa"/>
            <w:left w:w="0" w:type="dxa"/>
            <w:bottom w:w="0" w:type="dxa"/>
            <w:right w:w="0" w:type="dxa"/>
          </w:tblCellMar>
        </w:tblPrEx>
        <w:tc>
          <w:tcPr>
            <w:gridSpan w:val="29"/>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Fees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Earned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or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Paid in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Cash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Stock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Awards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Option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Awards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Non-Equity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Incentive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Plan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Compensation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Non-Qualified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Deferred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Compensation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Earnings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All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Other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Compensation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Total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11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Heung Mei Tsui</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Zilin Li</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Gene Michael Bennett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Yingwen Zhang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6,202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6,202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Baowen Dong</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directors will also be reimbursed for all of their out-of-pocket expenses in traveling to and attending meetings of our Board of Directors and committees on which they serve.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Ms. Zhilin Li, our Chairperson, President and Chief Executive Officer, was also compensated for serving on our board of directors as set forth in the Summary Compensation Table appearing earlier in this Item 11.</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Engagement Letters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28, 2023, we renewed the engagement letters with each of our three independent directors. Pursuant to the renewed engagement letters entered into on the same terms and conditions as the previous engagement letters and for a term of one year, each of Mr. Zhang and Mr. Dong is entitled to receive annual compensation of RMB40,000 (approximately $6,202), payable quarterly and Mr. Bennett is entitled to receive annual compensation of $16,000, payable quarterly, and a warrant to purchase 5,000 shares of common stock at an exercise price of $0.55 per share (pre-reverse stock split, $0.11 per share). As of the date of this report, no warrants have been issued to Mr. Bennett.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21" w:name="a_021"/>
      <w:bookmarkEnd w:id="21"/>
      <w:r>
        <w:rPr>
          <w:rFonts w:ascii="Times New Roman" w:eastAsia="Times New Roman" w:hAnsi="Times New Roman" w:cs="Times New Roman"/>
          <w:b/>
          <w:bCs/>
          <w:i w:val="0"/>
          <w:iCs w:val="0"/>
          <w:smallCaps w:val="0"/>
          <w:sz w:val="20"/>
          <w:szCs w:val="20"/>
        </w:rPr>
        <w:t>ITEM 12. SECURITY OWNERSHIP OF CERTAIN BENEFICIAL OWNERS AND MANAGEMENT AND RELATED STOCKHOLDERS MATTERS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sets forth certain information as of March 24, 2024, with respect to the beneficial ownership of our common stock, the sole outstanding class of our voting securities, by (i) any person or group owning more than 5% of each class of voting securities, (ii) each director, (iii) each executive officer and (iv) all executive officers and directors as a group.</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24, 2024, an aggregate of 14,816,865 shares of our common stock were outstanding.</w:t>
      </w:r>
    </w:p>
    <w:p>
      <w:pPr>
        <w:spacing w:before="0" w:after="0"/>
        <w:ind w:left="0" w:right="0"/>
        <w:jc w:val="right"/>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90"/>
        <w:gridCol w:w="92"/>
        <w:gridCol w:w="93"/>
        <w:gridCol w:w="889"/>
        <w:gridCol w:w="92"/>
        <w:gridCol w:w="92"/>
        <w:gridCol w:w="93"/>
        <w:gridCol w:w="837"/>
        <w:gridCol w:w="177"/>
      </w:tblGrid>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both"/>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 and Address of Beneficial Owners(1)(2)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 and Nature of Beneficial Ownership</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Percent of Class(3)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Directors and Executive Officers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Zhilin Li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 xml:space="preserve">President, Chief Executive Officer,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 xml:space="preserve">Interim Chief Financial Officer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and Chairperson of the Board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3,027,613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20.43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Heung Mei Tsui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Director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186,253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Yingwen Zhang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Director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Gene Michael Bennett (4)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Director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Baowen Dong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Director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All directors and executive officers as a group (5 persons)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3,213,866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21.69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Beneficial stockholders with 5% or more ownership</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Tao Liu</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Lihua Li</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Kui Lai</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Jianying Cai</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221"/>
        <w:gridCol w:w="360"/>
        <w:gridCol w:w="8779"/>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Represents less than 1%.</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900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Pursuant to Rule 13d-3 under the Exchange Act, a person has beneficial ownership of any securities as to which such person, directly or indirectly, through any contract, arrangement, undertaking, relationship or otherwise has or shares voting power and/or investment power or as to which such person has the right to acquire such voting and/or investment power within 60 days.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900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Unless otherwise stated, each beneficial owner has sole power to vote and dispose of the shares and the address of such person is c/o China Pharma Holdings, Inc., 2nd Floor, No. 17 Jinpan Road, Haikou, Hainan Province, People’s Republic of China 570216.</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900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 determining the percentage of common stock owned by the beneficial owners, (a) the numerator is the number of shares of common stock beneficially owned by such owner, including shares the owner may acquire, within 60 days of March 24, 2024, upon the exercise of the options or warrants, if any, held by the owner; and (b) the denominator is the sum of (i) the total 14,816,865 shares of common stock outstanding as of March 24, 2024, and (ii) the number of shares underlying any options or warrants, which such owner has the right to acquire upon the exercise of such options or warrants within 60 days of March 24, 2024 (for those who have options or warrants).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900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Pursuant to the terms of his engagement letters, Mr. Bennett is entitled to receive warrants to purchase an aggregate of 75,000 shares of our common stock (5,000 shares in each of year between 2008 to 2023 fiscal years). As of the date of this report no such warrants were issued.</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2" w:name="a_022"/>
      <w:bookmarkEnd w:id="22"/>
      <w:r>
        <w:rPr>
          <w:rFonts w:ascii="Times New Roman" w:eastAsia="Times New Roman" w:hAnsi="Times New Roman" w:cs="Times New Roman"/>
          <w:b/>
          <w:bCs/>
          <w:i w:val="0"/>
          <w:iCs w:val="0"/>
          <w:smallCaps w:val="0"/>
          <w:sz w:val="20"/>
          <w:szCs w:val="20"/>
        </w:rPr>
        <w:t>ITEM 13. CERTAIN RELATIONSHIPS AND RELATED TRANSACTIONS, AND DIRECTOR INDEPENDENCE.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Related Party Transactions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Ms. Tsui, one of our directors, has made various loans to the Company. The balance of such loans from Ms. Tsui remained $1,354,567 as of December 31, 2022 and 2021. The loans bear interest at a rate of 1% per annum and principal and interest were payable by December 31, 2022, pursuant to a loans extension confirmation letter executed by the Company and Ms. Tsui in 2021. We recognized interest expense of $13,546 and $13,546 for the years ended December 31, 2022 and 2021, respectively. On August 23, 2023, Ms. Tsui entered into certain loan transfer agreement. Pursuant to the agreement, Ms. Tsui agreed to transfer the Company’s debt of $1,854,452.1 to Ms. Li. On September 28, 2023, Ms. Li and the Company entered into certain loan settlement agreement on the above debt, of which Ms. Li agreed to settle the above-mentioned loan in the form of 2,751,412 shares (pre-reverse stock split, 13,757,063 shares) from the Company. Such issuance was completed on September 29,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received net advances totaling $0 and $1,183,414 and repaid $223,013 and $562,659 of the advances during the years ended December 31, 2022 and 2021, respectively from its Chairperson, Chief Executive Officer and Interim Chief Financial Officer as of December 31, 2022 and 2021, respectively. On July 8, 2019 the Company entered into a loan agreement to borrow cash of RMB 4,770,000 ($738,379) with its Chairperson, Chief Executive Officer and Interim Chief Financial Officer. The loan bears interest at a rate of 4.35% and is payable within one year of the loan agreement. The due date of the loan agreement was extended to July 9, 2024, on identical terms. Total interest expense related to the loan for the year ended December 31, 2023 and 2022 was $27,644 and $28,962.</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Independence of the Board of Directors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board of directors has determined that Gene Michael Bennett, Baowen Dong and Yingwen Zhang are “independent directors” as defined in the listing standards of NYSE American.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360" w:right="0" w:firstLine="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Pay Versus Performance</w:t>
      </w:r>
    </w:p>
    <w:p>
      <w:pPr>
        <w:spacing w:before="0" w:after="0"/>
        <w:ind w:left="0" w:right="0" w:firstLine="7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August 2022, the SEC adopted final rules to require companies to disclose information about the relationship between executive compensation actually paid and certain financial performance of the company. The information below is provided pursuant to Item 402(v) of SEC Regulation S-K with respect to “smaller reporting companies” as that term is defined in Item 10(f)(1) of SEC Regulation S-K.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1145"/>
        <w:gridCol w:w="86"/>
        <w:gridCol w:w="86"/>
        <w:gridCol w:w="122"/>
        <w:gridCol w:w="1087"/>
        <w:gridCol w:w="86"/>
        <w:gridCol w:w="86"/>
        <w:gridCol w:w="110"/>
        <w:gridCol w:w="1094"/>
        <w:gridCol w:w="86"/>
        <w:gridCol w:w="86"/>
        <w:gridCol w:w="200"/>
        <w:gridCol w:w="995"/>
        <w:gridCol w:w="86"/>
        <w:gridCol w:w="86"/>
        <w:gridCol w:w="171"/>
        <w:gridCol w:w="986"/>
        <w:gridCol w:w="86"/>
        <w:gridCol w:w="86"/>
        <w:gridCol w:w="175"/>
        <w:gridCol w:w="1016"/>
        <w:gridCol w:w="86"/>
        <w:gridCol w:w="86"/>
        <w:gridCol w:w="110"/>
        <w:gridCol w:w="1015"/>
        <w:gridCol w:w="92"/>
      </w:tblGrid>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Year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 xml:space="preserve">Summary Comp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Table Total for PEO</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Comp. Actually Paid to PEO</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Average Summary</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Comp. Table for Non-PEO</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NEOs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Average Comp.</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Actually Paid to Non-PEO</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NEOs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Value of</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Initial Fixed $100 Investment Based on</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Total Shareholder Return</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Net Income</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6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2021</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6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241,600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6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1,179,200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(3,399,476</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241,600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(3,972,841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236,000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(3,022,018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900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dollar amounts reported in column (b) are the amounts of total compensation reported for Chairperson Li for each corresponding year in the “Total” column of the Summary Compensation Table. See “Executive Compensation - Summary Compensation Table.</w:t>
            </w:r>
          </w:p>
        </w:tc>
      </w:tr>
    </w:tbl>
    <w:p>
      <w:pPr>
        <w:spacing w:before="0" w:after="0"/>
        <w:ind w:left="0" w:right="0" w:firstLine="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900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dollar amounts reported in column (c) represent the amount of “compensation actually paid” to Chairperson Li as computed in accordance with Item 402(v)(2)(iii) of SEC Regulation S-K, which prescribes certain specified additions and subtractions from the amount in column (b). In accordance with the requirements of Item 401(v)(2)(iii) of Regulation S-K, we adjusted the amount in 2023 and 2022 to show the compensation as unpaid. In 2021, we adjusted for $1,179,000 paid via the issuance of 35,200 shares of fully vested common stock at the price of $33.50 per share from the Amended and Restated Long Term 2010 Incentive Plan to Chairperson Li in lieu of salary from years prior to 2021.</w:t>
            </w:r>
          </w:p>
        </w:tc>
      </w:tr>
    </w:tbl>
    <w:p>
      <w:pPr>
        <w:spacing w:before="0" w:after="0"/>
        <w:ind w:left="0" w:right="0" w:firstLine="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900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Shareholder Return is determined based on the value of an initial fixed investment in the Company’s common stock of $100 on December 31, 2020 and calculated in accordance with Item 201(e) of SEC Regulation S-K.</w:t>
            </w:r>
          </w:p>
        </w:tc>
      </w:tr>
    </w:tbl>
    <w:p>
      <w:pPr>
        <w:spacing w:before="0" w:after="0"/>
        <w:ind w:left="0" w:right="0" w:firstLine="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900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 dollar amounts reported in column (g) represent the amount of net income reflected in our consolidated audited financial statements for the applicable year.</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Analysis of the Information Presented in the Pay Versus Performance Table</w:t>
      </w: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Nomination and Compensation Committee of the Board of Directors of the Company does not have a policy or practice regarding evaluating Total Shareholder Return as part of its determination of compensation decisions for the named executive officers. The Nomination and Compensation Committee takes various factors into account in determining the competitiveness of its executive compensation. Over the past three fiscal years the Nomination and Compensation Committee has recognized the significant time and effort required by the executive officer to manage the Company’s liquidity by raising capital while reducing operating expenses and cash used in operations, secure and maintain the Company’s listing on the NYSE American Market, and to source and evaluate patent technology acquisition opportunities.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All information provided above under the “Pay Versus Performance Information” heading will not be deemed to be incorporated by reference in any filing of our company under the Securities Act of 1933, as amended, whether made before or after the date hereof and irrespective of any general incorporation language in any such filing.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23" w:name="a_023"/>
      <w:bookmarkEnd w:id="23"/>
      <w:r>
        <w:rPr>
          <w:rFonts w:ascii="Times New Roman" w:eastAsia="Times New Roman" w:hAnsi="Times New Roman" w:cs="Times New Roman"/>
          <w:b/>
          <w:bCs/>
          <w:i w:val="0"/>
          <w:iCs w:val="0"/>
          <w:smallCaps w:val="0"/>
          <w:sz w:val="20"/>
          <w:szCs w:val="20"/>
        </w:rPr>
        <w:t>ITEM 14. PRINCIPAL ACCOUNTANT FEES AND SERVICES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Audit Fees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The aggregate fees billed by </w:t>
      </w:r>
      <w:r>
        <w:rPr>
          <w:rFonts w:ascii="Times New Roman" w:eastAsia="Times New Roman" w:hAnsi="Times New Roman" w:cs="Times New Roman"/>
          <w:b w:val="0"/>
          <w:bCs w:val="0"/>
          <w:i w:val="0"/>
          <w:iCs w:val="0"/>
          <w:smallCaps w:val="0"/>
          <w:sz w:val="20"/>
          <w:szCs w:val="20"/>
        </w:rPr>
        <w:t xml:space="preserve">B F Borgers CPA PC, </w:t>
      </w:r>
      <w:r>
        <w:rPr>
          <w:rFonts w:ascii="Times New Roman" w:eastAsia="Times New Roman" w:hAnsi="Times New Roman" w:cs="Times New Roman"/>
          <w:b w:val="0"/>
          <w:bCs w:val="0"/>
          <w:i w:val="0"/>
          <w:iCs w:val="0"/>
          <w:smallCaps w:val="0"/>
          <w:sz w:val="20"/>
          <w:szCs w:val="20"/>
        </w:rPr>
        <w:t>our principal accountant, for professional services rendered for the audit of our annual financial statements included in our Annual Reports on Form 10-K, for the reviews of the financial statements included in our Quarterly Reports on Form 10-Q, and for services in connection with statutory and regulatory filings or engagements were approximately $132,000 and $132,000 for the fiscal year ended December 31, 2023, and 2022.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Audit-Related Fees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did not incur any audit-related fees during the fiscal years ended December 31, 2023 and 2022.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Tax Fees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did not incur any tax fees during the fiscal year ended December 31,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All Other Fees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did not engage our principal accountant to render services to us during the last two fiscal years, other than as reported above.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Pre-Approval Policies and Procedures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Under the Sarbanes-Oxley Act of 2002, all audit and non-audit services performed by our auditors must be approved in advance by our Audit Committee to assure that such services do not impair the auditors’ independence from us. In accordance with its policies and procedures, the Audit Committee pre-approved the audit service performed by </w:t>
      </w:r>
      <w:r>
        <w:rPr>
          <w:rFonts w:ascii="Times New Roman" w:eastAsia="Times New Roman" w:hAnsi="Times New Roman" w:cs="Times New Roman"/>
          <w:b w:val="0"/>
          <w:bCs w:val="0"/>
          <w:i w:val="0"/>
          <w:iCs w:val="0"/>
          <w:smallCaps w:val="0"/>
          <w:sz w:val="20"/>
          <w:szCs w:val="20"/>
        </w:rPr>
        <w:t>B F Borgers CPA PC</w:t>
      </w:r>
      <w:r>
        <w:rPr>
          <w:rFonts w:ascii="Times New Roman" w:eastAsia="Times New Roman" w:hAnsi="Times New Roman" w:cs="Times New Roman"/>
          <w:b w:val="0"/>
          <w:bCs w:val="0"/>
          <w:i w:val="0"/>
          <w:iCs w:val="0"/>
          <w:smallCaps w:val="0"/>
          <w:sz w:val="20"/>
          <w:szCs w:val="20"/>
        </w:rPr>
        <w:t>, for our consolidated financial statements as of and for the year ended December 31,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24" w:name="a_024"/>
      <w:bookmarkEnd w:id="24"/>
      <w:r>
        <w:rPr>
          <w:rFonts w:ascii="Times New Roman" w:eastAsia="Times New Roman" w:hAnsi="Times New Roman" w:cs="Times New Roman"/>
          <w:b/>
          <w:bCs/>
          <w:i w:val="0"/>
          <w:iCs w:val="0"/>
          <w:smallCaps w:val="0"/>
          <w:sz w:val="20"/>
          <w:szCs w:val="20"/>
        </w:rPr>
        <w:t>PART IV</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25" w:name="a_025"/>
      <w:bookmarkEnd w:id="25"/>
      <w:r>
        <w:rPr>
          <w:rFonts w:ascii="Times New Roman" w:eastAsia="Times New Roman" w:hAnsi="Times New Roman" w:cs="Times New Roman"/>
          <w:b/>
          <w:bCs/>
          <w:i w:val="0"/>
          <w:iCs w:val="0"/>
          <w:smallCaps w:val="0"/>
          <w:sz w:val="20"/>
          <w:szCs w:val="20"/>
        </w:rPr>
        <w:t>ITEM 15. EXHIBITS AND FINANCIAL STATEMENT SCHEDULES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 The following documents are filed as part of this report: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Financial Statements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financial statements of China Pharma Holdings, Inc. and Reports of Independent Registered Public Accounting Firms are presented in the “F” pages of this report: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205" w:type="dxa"/>
        <w:tblCellMar>
          <w:top w:w="0" w:type="dxa"/>
          <w:left w:w="0" w:type="dxa"/>
          <w:bottom w:w="0" w:type="dxa"/>
          <w:right w:w="0" w:type="dxa"/>
        </w:tblCellMar>
      </w:tblPr>
      <w:tblGrid>
        <w:gridCol w:w="8240"/>
        <w:gridCol w:w="916"/>
      </w:tblGrid>
      <w:tr>
        <w:tblPrEx>
          <w:tblW w:w="5000" w:type="pct"/>
          <w:tblInd w:w="205" w:type="dxa"/>
          <w:tblCellMar>
            <w:top w:w="0" w:type="dxa"/>
            <w:left w:w="0" w:type="dxa"/>
            <w:bottom w:w="0" w:type="dxa"/>
            <w:right w:w="0" w:type="dxa"/>
          </w:tblCellMar>
        </w:tblPrEx>
        <w:tc>
          <w:tcPr>
            <w:tcW w:w="4500" w:type="pct"/>
            <w:shd w:val="clear" w:color="auto" w:fill="CCEEFF"/>
            <w:noWrap w:val="0"/>
            <w:tcMar>
              <w:top w:w="5" w:type="dxa"/>
              <w:left w:w="205" w:type="dxa"/>
              <w:bottom w:w="5" w:type="dxa"/>
              <w:right w:w="5" w:type="dxa"/>
            </w:tcMar>
            <w:vAlign w:val="bottom"/>
            <w:hideMark/>
          </w:tcPr>
          <w:p>
            <w:pPr>
              <w:ind w:hanging="200"/>
              <w:rPr>
                <w:rFonts w:ascii="Times New Roman" w:eastAsia="Times New Roman" w:hAnsi="Times New Roman" w:cs="Times New Roman"/>
                <w:b w:val="0"/>
                <w:bCs w:val="0"/>
                <w:i w:val="0"/>
                <w:iCs w:val="0"/>
                <w:smallCaps w:val="0"/>
                <w:color w:val="000000"/>
                <w:sz w:val="20"/>
                <w:szCs w:val="20"/>
              </w:rPr>
            </w:pPr>
            <w:hyperlink w:anchor="f_001" w:history="1">
              <w:r>
                <w:rPr>
                  <w:rFonts w:ascii="Times New Roman" w:eastAsia="Times New Roman" w:hAnsi="Times New Roman" w:cs="Times New Roman"/>
                  <w:b w:val="0"/>
                  <w:bCs w:val="0"/>
                  <w:i w:val="0"/>
                  <w:iCs w:val="0"/>
                  <w:smallCaps w:val="0"/>
                  <w:color w:val="0000EE"/>
                  <w:sz w:val="20"/>
                  <w:szCs w:val="20"/>
                  <w:u w:val="single" w:color="0000EE"/>
                </w:rPr>
                <w:t>Report of B F Borgers CPA PC, Independent Registered Public Accounting Firm</w:t>
              </w:r>
            </w:hyperlink>
          </w:p>
        </w:tc>
        <w:tc>
          <w:tcPr>
            <w:tcW w:w="50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F-2</w:t>
            </w:r>
          </w:p>
        </w:tc>
      </w:tr>
      <w:tr>
        <w:tblPrEx>
          <w:tblW w:w="5000" w:type="pct"/>
          <w:tblInd w:w="205" w:type="dxa"/>
          <w:tblCellMar>
            <w:top w:w="0" w:type="dxa"/>
            <w:left w:w="0" w:type="dxa"/>
            <w:bottom w:w="0" w:type="dxa"/>
            <w:right w:w="0" w:type="dxa"/>
          </w:tblCellMar>
        </w:tblPrEx>
        <w:tc>
          <w:tcPr>
            <w:noWrap w:val="0"/>
            <w:tcMar>
              <w:top w:w="5" w:type="dxa"/>
              <w:left w:w="205" w:type="dxa"/>
              <w:bottom w:w="5" w:type="dxa"/>
              <w:right w:w="5" w:type="dxa"/>
            </w:tcMar>
            <w:vAlign w:val="bottom"/>
            <w:hideMark/>
          </w:tcPr>
          <w:p>
            <w:pPr>
              <w:ind w:hanging="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205" w:type="dxa"/>
          <w:tblCellMar>
            <w:top w:w="0" w:type="dxa"/>
            <w:left w:w="0" w:type="dxa"/>
            <w:bottom w:w="0" w:type="dxa"/>
            <w:right w:w="0" w:type="dxa"/>
          </w:tblCellMar>
        </w:tblPrEx>
        <w:tc>
          <w:tcPr>
            <w:shd w:val="clear" w:color="auto" w:fill="CCEEFF"/>
            <w:noWrap w:val="0"/>
            <w:tcMar>
              <w:top w:w="5" w:type="dxa"/>
              <w:left w:w="205" w:type="dxa"/>
              <w:bottom w:w="5" w:type="dxa"/>
              <w:right w:w="5" w:type="dxa"/>
            </w:tcMar>
            <w:vAlign w:val="bottom"/>
            <w:hideMark/>
          </w:tcPr>
          <w:p>
            <w:pPr>
              <w:ind w:hanging="200"/>
              <w:rPr>
                <w:rFonts w:ascii="Times New Roman" w:eastAsia="Times New Roman" w:hAnsi="Times New Roman" w:cs="Times New Roman"/>
                <w:b w:val="0"/>
                <w:bCs w:val="0"/>
                <w:i w:val="0"/>
                <w:iCs w:val="0"/>
                <w:smallCaps w:val="0"/>
                <w:color w:val="000000"/>
                <w:sz w:val="20"/>
                <w:szCs w:val="20"/>
              </w:rPr>
            </w:pPr>
            <w:hyperlink w:anchor="f_002" w:history="1">
              <w:r>
                <w:rPr>
                  <w:rFonts w:ascii="Times New Roman" w:eastAsia="Times New Roman" w:hAnsi="Times New Roman" w:cs="Times New Roman"/>
                  <w:b w:val="0"/>
                  <w:bCs w:val="0"/>
                  <w:i w:val="0"/>
                  <w:iCs w:val="0"/>
                  <w:smallCaps w:val="0"/>
                  <w:color w:val="0000EE"/>
                  <w:sz w:val="20"/>
                  <w:szCs w:val="20"/>
                  <w:u w:val="single" w:color="0000EE"/>
                </w:rPr>
                <w:t>Consolidated Balance Sheets - as of December 31, 2023 and 2022</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F-3</w:t>
            </w:r>
          </w:p>
        </w:tc>
      </w:tr>
      <w:tr>
        <w:tblPrEx>
          <w:tblW w:w="5000" w:type="pct"/>
          <w:tblInd w:w="205" w:type="dxa"/>
          <w:tblCellMar>
            <w:top w:w="0" w:type="dxa"/>
            <w:left w:w="0" w:type="dxa"/>
            <w:bottom w:w="0" w:type="dxa"/>
            <w:right w:w="0" w:type="dxa"/>
          </w:tblCellMar>
        </w:tblPrEx>
        <w:tc>
          <w:tcPr>
            <w:noWrap w:val="0"/>
            <w:tcMar>
              <w:top w:w="5" w:type="dxa"/>
              <w:left w:w="205" w:type="dxa"/>
              <w:bottom w:w="5" w:type="dxa"/>
              <w:right w:w="5" w:type="dxa"/>
            </w:tcMar>
            <w:vAlign w:val="bottom"/>
            <w:hideMark/>
          </w:tcPr>
          <w:p>
            <w:pPr>
              <w:ind w:hanging="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205" w:type="dxa"/>
          <w:tblCellMar>
            <w:top w:w="0" w:type="dxa"/>
            <w:left w:w="0" w:type="dxa"/>
            <w:bottom w:w="0" w:type="dxa"/>
            <w:right w:w="0" w:type="dxa"/>
          </w:tblCellMar>
        </w:tblPrEx>
        <w:tc>
          <w:tcPr>
            <w:shd w:val="clear" w:color="auto" w:fill="CCEEFF"/>
            <w:noWrap w:val="0"/>
            <w:tcMar>
              <w:top w:w="5" w:type="dxa"/>
              <w:left w:w="205" w:type="dxa"/>
              <w:bottom w:w="5" w:type="dxa"/>
              <w:right w:w="5" w:type="dxa"/>
            </w:tcMar>
            <w:vAlign w:val="bottom"/>
            <w:hideMark/>
          </w:tcPr>
          <w:p>
            <w:pPr>
              <w:ind w:hanging="200"/>
              <w:rPr>
                <w:rFonts w:ascii="Times New Roman" w:eastAsia="Times New Roman" w:hAnsi="Times New Roman" w:cs="Times New Roman"/>
                <w:b w:val="0"/>
                <w:bCs w:val="0"/>
                <w:i w:val="0"/>
                <w:iCs w:val="0"/>
                <w:smallCaps w:val="0"/>
                <w:color w:val="000000"/>
                <w:sz w:val="20"/>
                <w:szCs w:val="20"/>
              </w:rPr>
            </w:pPr>
            <w:hyperlink w:anchor="f_003" w:history="1">
              <w:r>
                <w:rPr>
                  <w:rFonts w:ascii="Times New Roman" w:eastAsia="Times New Roman" w:hAnsi="Times New Roman" w:cs="Times New Roman"/>
                  <w:b w:val="0"/>
                  <w:bCs w:val="0"/>
                  <w:i w:val="0"/>
                  <w:iCs w:val="0"/>
                  <w:smallCaps w:val="0"/>
                  <w:color w:val="0000EE"/>
                  <w:sz w:val="20"/>
                  <w:szCs w:val="20"/>
                  <w:u w:val="single" w:color="0000EE"/>
                </w:rPr>
                <w:t>Consolidated Statements of Operations and Comprehensive Loss - for the years ended December 31, 2023 and 2022</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F-4</w:t>
            </w:r>
          </w:p>
        </w:tc>
      </w:tr>
      <w:tr>
        <w:tblPrEx>
          <w:tblW w:w="5000" w:type="pct"/>
          <w:tblInd w:w="205" w:type="dxa"/>
          <w:tblCellMar>
            <w:top w:w="0" w:type="dxa"/>
            <w:left w:w="0" w:type="dxa"/>
            <w:bottom w:w="0" w:type="dxa"/>
            <w:right w:w="0" w:type="dxa"/>
          </w:tblCellMar>
        </w:tblPrEx>
        <w:tc>
          <w:tcPr>
            <w:noWrap w:val="0"/>
            <w:tcMar>
              <w:top w:w="5" w:type="dxa"/>
              <w:left w:w="205" w:type="dxa"/>
              <w:bottom w:w="5" w:type="dxa"/>
              <w:right w:w="5" w:type="dxa"/>
            </w:tcMar>
            <w:vAlign w:val="bottom"/>
            <w:hideMark/>
          </w:tcPr>
          <w:p>
            <w:pPr>
              <w:ind w:hanging="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205" w:type="dxa"/>
          <w:tblCellMar>
            <w:top w:w="0" w:type="dxa"/>
            <w:left w:w="0" w:type="dxa"/>
            <w:bottom w:w="0" w:type="dxa"/>
            <w:right w:w="0" w:type="dxa"/>
          </w:tblCellMar>
        </w:tblPrEx>
        <w:tc>
          <w:tcPr>
            <w:shd w:val="clear" w:color="auto" w:fill="CCEEFF"/>
            <w:noWrap w:val="0"/>
            <w:tcMar>
              <w:top w:w="5" w:type="dxa"/>
              <w:left w:w="205" w:type="dxa"/>
              <w:bottom w:w="5" w:type="dxa"/>
              <w:right w:w="5" w:type="dxa"/>
            </w:tcMar>
            <w:vAlign w:val="bottom"/>
            <w:hideMark/>
          </w:tcPr>
          <w:p>
            <w:pPr>
              <w:ind w:hanging="200"/>
              <w:rPr>
                <w:rFonts w:ascii="Times New Roman" w:eastAsia="Times New Roman" w:hAnsi="Times New Roman" w:cs="Times New Roman"/>
                <w:b w:val="0"/>
                <w:bCs w:val="0"/>
                <w:i w:val="0"/>
                <w:iCs w:val="0"/>
                <w:smallCaps w:val="0"/>
                <w:color w:val="000000"/>
                <w:sz w:val="20"/>
                <w:szCs w:val="20"/>
              </w:rPr>
            </w:pPr>
            <w:hyperlink w:anchor="f_004" w:history="1">
              <w:r>
                <w:rPr>
                  <w:rFonts w:ascii="Times New Roman" w:eastAsia="Times New Roman" w:hAnsi="Times New Roman" w:cs="Times New Roman"/>
                  <w:b w:val="0"/>
                  <w:bCs w:val="0"/>
                  <w:i w:val="0"/>
                  <w:iCs w:val="0"/>
                  <w:smallCaps w:val="0"/>
                  <w:color w:val="0000EE"/>
                  <w:sz w:val="20"/>
                  <w:szCs w:val="20"/>
                  <w:u w:val="single" w:color="0000EE"/>
                </w:rPr>
                <w:t>Consolidated Statements of Stockholders’ Equity - for the years ended December 31, 2023 and 2022</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F-5</w:t>
            </w:r>
          </w:p>
        </w:tc>
      </w:tr>
      <w:tr>
        <w:tblPrEx>
          <w:tblW w:w="5000" w:type="pct"/>
          <w:tblInd w:w="205" w:type="dxa"/>
          <w:tblCellMar>
            <w:top w:w="0" w:type="dxa"/>
            <w:left w:w="0" w:type="dxa"/>
            <w:bottom w:w="0" w:type="dxa"/>
            <w:right w:w="0" w:type="dxa"/>
          </w:tblCellMar>
        </w:tblPrEx>
        <w:tc>
          <w:tcPr>
            <w:noWrap w:val="0"/>
            <w:tcMar>
              <w:top w:w="5" w:type="dxa"/>
              <w:left w:w="205" w:type="dxa"/>
              <w:bottom w:w="5" w:type="dxa"/>
              <w:right w:w="5" w:type="dxa"/>
            </w:tcMar>
            <w:vAlign w:val="bottom"/>
            <w:hideMark/>
          </w:tcPr>
          <w:p>
            <w:pPr>
              <w:ind w:hanging="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205" w:type="dxa"/>
          <w:tblCellMar>
            <w:top w:w="0" w:type="dxa"/>
            <w:left w:w="0" w:type="dxa"/>
            <w:bottom w:w="0" w:type="dxa"/>
            <w:right w:w="0" w:type="dxa"/>
          </w:tblCellMar>
        </w:tblPrEx>
        <w:tc>
          <w:tcPr>
            <w:shd w:val="clear" w:color="auto" w:fill="CCEEFF"/>
            <w:noWrap w:val="0"/>
            <w:tcMar>
              <w:top w:w="5" w:type="dxa"/>
              <w:left w:w="205" w:type="dxa"/>
              <w:bottom w:w="5" w:type="dxa"/>
              <w:right w:w="5" w:type="dxa"/>
            </w:tcMar>
            <w:vAlign w:val="bottom"/>
            <w:hideMark/>
          </w:tcPr>
          <w:p>
            <w:pPr>
              <w:ind w:hanging="200"/>
              <w:rPr>
                <w:rFonts w:ascii="Times New Roman" w:eastAsia="Times New Roman" w:hAnsi="Times New Roman" w:cs="Times New Roman"/>
                <w:b w:val="0"/>
                <w:bCs w:val="0"/>
                <w:i w:val="0"/>
                <w:iCs w:val="0"/>
                <w:smallCaps w:val="0"/>
                <w:color w:val="000000"/>
                <w:sz w:val="20"/>
                <w:szCs w:val="20"/>
              </w:rPr>
            </w:pPr>
            <w:hyperlink w:anchor="f_005" w:history="1">
              <w:r>
                <w:rPr>
                  <w:rFonts w:ascii="Times New Roman" w:eastAsia="Times New Roman" w:hAnsi="Times New Roman" w:cs="Times New Roman"/>
                  <w:b w:val="0"/>
                  <w:bCs w:val="0"/>
                  <w:i w:val="0"/>
                  <w:iCs w:val="0"/>
                  <w:smallCaps w:val="0"/>
                  <w:color w:val="0000EE"/>
                  <w:sz w:val="20"/>
                  <w:szCs w:val="20"/>
                  <w:u w:val="single" w:color="0000EE"/>
                </w:rPr>
                <w:t>Consolidated Statements of Cash Flows - for the years ended December 31, 2023 and 2022</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F-6</w:t>
            </w:r>
          </w:p>
        </w:tc>
      </w:tr>
      <w:tr>
        <w:tblPrEx>
          <w:tblW w:w="5000" w:type="pct"/>
          <w:tblInd w:w="205" w:type="dxa"/>
          <w:tblCellMar>
            <w:top w:w="0" w:type="dxa"/>
            <w:left w:w="0" w:type="dxa"/>
            <w:bottom w:w="0" w:type="dxa"/>
            <w:right w:w="0" w:type="dxa"/>
          </w:tblCellMar>
        </w:tblPrEx>
        <w:tc>
          <w:tcPr>
            <w:noWrap w:val="0"/>
            <w:tcMar>
              <w:top w:w="5" w:type="dxa"/>
              <w:left w:w="205" w:type="dxa"/>
              <w:bottom w:w="5" w:type="dxa"/>
              <w:right w:w="5" w:type="dxa"/>
            </w:tcMar>
            <w:vAlign w:val="bottom"/>
            <w:hideMark/>
          </w:tcPr>
          <w:p>
            <w:pPr>
              <w:ind w:hanging="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205" w:type="dxa"/>
          <w:tblCellMar>
            <w:top w:w="0" w:type="dxa"/>
            <w:left w:w="0" w:type="dxa"/>
            <w:bottom w:w="0" w:type="dxa"/>
            <w:right w:w="0" w:type="dxa"/>
          </w:tblCellMar>
        </w:tblPrEx>
        <w:tc>
          <w:tcPr>
            <w:shd w:val="clear" w:color="auto" w:fill="CCEEFF"/>
            <w:noWrap w:val="0"/>
            <w:tcMar>
              <w:top w:w="5" w:type="dxa"/>
              <w:left w:w="205" w:type="dxa"/>
              <w:bottom w:w="5" w:type="dxa"/>
              <w:right w:w="5" w:type="dxa"/>
            </w:tcMar>
            <w:vAlign w:val="bottom"/>
            <w:hideMark/>
          </w:tcPr>
          <w:p>
            <w:pPr>
              <w:ind w:hanging="200"/>
              <w:rPr>
                <w:rFonts w:ascii="Times New Roman" w:eastAsia="Times New Roman" w:hAnsi="Times New Roman" w:cs="Times New Roman"/>
                <w:b w:val="0"/>
                <w:bCs w:val="0"/>
                <w:i w:val="0"/>
                <w:iCs w:val="0"/>
                <w:smallCaps w:val="0"/>
                <w:color w:val="000000"/>
                <w:sz w:val="20"/>
                <w:szCs w:val="20"/>
              </w:rPr>
            </w:pPr>
            <w:hyperlink w:anchor="f_006" w:history="1">
              <w:r>
                <w:rPr>
                  <w:rFonts w:ascii="Times New Roman" w:eastAsia="Times New Roman" w:hAnsi="Times New Roman" w:cs="Times New Roman"/>
                  <w:b w:val="0"/>
                  <w:bCs w:val="0"/>
                  <w:i w:val="0"/>
                  <w:iCs w:val="0"/>
                  <w:smallCaps w:val="0"/>
                  <w:color w:val="0000EE"/>
                  <w:sz w:val="20"/>
                  <w:szCs w:val="20"/>
                  <w:u w:val="single" w:color="0000EE"/>
                </w:rPr>
                <w:t>Notes to Consolidated Financial Statements</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F-7</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 Exhibits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Exhibit Index following the signature page of this report, which Index is incorporated herein by reference.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26" w:name="a_026"/>
      <w:bookmarkEnd w:id="26"/>
      <w:r>
        <w:rPr>
          <w:rFonts w:ascii="Times New Roman" w:eastAsia="Times New Roman" w:hAnsi="Times New Roman" w:cs="Times New Roman"/>
          <w:b/>
          <w:bCs/>
          <w:i w:val="0"/>
          <w:iCs w:val="0"/>
          <w:smallCaps w:val="0"/>
          <w:sz w:val="20"/>
          <w:szCs w:val="20"/>
        </w:rPr>
        <w:t>SIGNATURES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requirements of Section 13 or 15(d) of the Securities Exchange Act of 1934, as amended, the registrant has duly caused this report to be signed on its behalf by the undersigned, thereunto duly authorized.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5562"/>
        <w:gridCol w:w="543"/>
        <w:gridCol w:w="3250"/>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Date: April 1, 2024</w:t>
            </w:r>
          </w:p>
        </w:tc>
        <w:tc>
          <w:tcPr>
            <w:gridSpan w:val="2"/>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CHINA PHARMA HOLDINGS, INC.</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000" w:type="pct"/>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0" w:type="pct"/>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By: </w:t>
            </w:r>
          </w:p>
        </w:tc>
        <w:tc>
          <w:tcPr>
            <w:tcW w:w="1750" w:type="pct"/>
            <w:tcBorders>
              <w:bottom w:val="single" w:sz="12" w:space="0" w:color="000000"/>
            </w:tcBorders>
            <w:noWrap w:val="0"/>
            <w:tcMar>
              <w:top w:w="5" w:type="dxa"/>
              <w:left w:w="5" w:type="dxa"/>
              <w:bottom w:w="1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Zhilin Li</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Name: </w:t>
            </w:r>
          </w:p>
        </w:tc>
        <w:tc>
          <w:tcPr>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Zhilin Li</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Title: </w:t>
            </w:r>
          </w:p>
        </w:tc>
        <w:tc>
          <w:tcPr>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Executive Officer</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center"/>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executive officer)</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requirements of the Securities Exchange Act of 1934, this report has been signed below by the following persons on behalf of the registrant and in the capacities and on the dates indicated.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806"/>
        <w:gridCol w:w="94"/>
        <w:gridCol w:w="4678"/>
        <w:gridCol w:w="94"/>
        <w:gridCol w:w="1684"/>
      </w:tblGrid>
      <w:tr>
        <w:tblPrEx>
          <w:tblW w:w="5000" w:type="pct"/>
          <w:tblInd w:w="5" w:type="dxa"/>
          <w:tblCellMar>
            <w:top w:w="0" w:type="dxa"/>
            <w:left w:w="0" w:type="dxa"/>
            <w:bottom w:w="0" w:type="dxa"/>
            <w:right w:w="0" w:type="dxa"/>
          </w:tblCellMar>
        </w:tblPrEx>
        <w:tc>
          <w:tcPr>
            <w:tcW w:w="150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Signature</w:t>
            </w:r>
          </w:p>
        </w:tc>
        <w:tc>
          <w:tcPr>
            <w:tcW w:w="50" w:type="pct"/>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250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Title</w:t>
            </w:r>
          </w:p>
        </w:tc>
        <w:tc>
          <w:tcPr>
            <w:tcW w:w="50" w:type="pct"/>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90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Date</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Zhilin Li</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Chairperson of the Board, President, Chief Executive Officer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April 1, 2024</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Zhilin Li</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executive officer) and interim Chief Financial Officer</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(principal financial officer and principal accounting officer)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Heung Mei Tsui</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April 1, 2024</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Heung Mei Tsui</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Gene Michael Bennett</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April 1, 2024</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Gene Michael Bennett</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Yingwen Zhang</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April 1, 2024</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Yingwen Zhang</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Baowen Dong</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Director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April 1, 2024</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Baowen Dong</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27" w:name="a_027"/>
      <w:bookmarkEnd w:id="27"/>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Exhibit Index to Annual Report on Form 10-K</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 the Fiscal Year Ended December 31, 2023</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42"/>
        <w:gridCol w:w="94"/>
        <w:gridCol w:w="8420"/>
      </w:tblGrid>
      <w:tr>
        <w:tblPrEx>
          <w:tblW w:w="5000" w:type="pct"/>
          <w:tblInd w:w="5" w:type="dxa"/>
          <w:tblCellMar>
            <w:top w:w="0" w:type="dxa"/>
            <w:left w:w="0" w:type="dxa"/>
            <w:bottom w:w="0" w:type="dxa"/>
            <w:right w:w="0" w:type="dxa"/>
          </w:tblCellMar>
        </w:tblPrEx>
        <w:tc>
          <w:tcPr>
            <w:tcW w:w="450" w:type="pct"/>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Exhibit No.</w:t>
            </w:r>
          </w:p>
        </w:tc>
        <w:tc>
          <w:tcPr>
            <w:tcW w:w="50" w:type="pct"/>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0" w:type="pct"/>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5" w:history="1">
              <w:r>
                <w:rPr>
                  <w:rFonts w:ascii="Times New Roman" w:eastAsia="Times New Roman" w:hAnsi="Times New Roman" w:cs="Times New Roman"/>
                  <w:b w:val="0"/>
                  <w:bCs w:val="0"/>
                  <w:i w:val="0"/>
                  <w:iCs w:val="0"/>
                  <w:smallCaps w:val="0"/>
                  <w:color w:val="0000EE"/>
                  <w:sz w:val="20"/>
                  <w:szCs w:val="20"/>
                  <w:u w:val="single" w:color="0000EE"/>
                </w:rPr>
                <w:t>Articles of Incorporation of the Company (incorporated by reference to Exhibit 3.1 to our Current Report on Form 8-K filed on December 31, 2012).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6" w:history="1">
              <w:r>
                <w:rPr>
                  <w:rFonts w:ascii="Times New Roman" w:eastAsia="Times New Roman" w:hAnsi="Times New Roman" w:cs="Times New Roman"/>
                  <w:b w:val="0"/>
                  <w:bCs w:val="0"/>
                  <w:i w:val="0"/>
                  <w:iCs w:val="0"/>
                  <w:smallCaps w:val="0"/>
                  <w:color w:val="0000EE"/>
                  <w:sz w:val="20"/>
                  <w:szCs w:val="20"/>
                  <w:u w:val="single" w:color="0000EE"/>
                </w:rPr>
                <w:t>The First Amended and Restated Articles of Incorporation of the Company</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7" w:history="1">
              <w:r>
                <w:rPr>
                  <w:rFonts w:ascii="Times New Roman" w:eastAsia="Times New Roman" w:hAnsi="Times New Roman" w:cs="Times New Roman"/>
                  <w:b w:val="0"/>
                  <w:bCs w:val="0"/>
                  <w:i w:val="0"/>
                  <w:iCs w:val="0"/>
                  <w:smallCaps w:val="0"/>
                  <w:color w:val="0000EE"/>
                  <w:sz w:val="20"/>
                  <w:szCs w:val="20"/>
                  <w:u w:val="single" w:color="0000EE"/>
                </w:rPr>
                <w:t>The Second Amended and Restated Articles of Incorporation of the Company.</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8" w:history="1">
              <w:r>
                <w:rPr>
                  <w:rFonts w:ascii="Times New Roman" w:eastAsia="Times New Roman" w:hAnsi="Times New Roman" w:cs="Times New Roman"/>
                  <w:b w:val="0"/>
                  <w:bCs w:val="0"/>
                  <w:i w:val="0"/>
                  <w:iCs w:val="0"/>
                  <w:smallCaps w:val="0"/>
                  <w:color w:val="0000EE"/>
                  <w:sz w:val="20"/>
                  <w:szCs w:val="20"/>
                  <w:u w:val="single" w:color="0000EE"/>
                </w:rPr>
                <w:t>Bylaws of the Company (incorporated by reference to Exhibit 3.2 to our Current Report on Form 8-K filed on December 31, 2012).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9" w:history="1">
              <w:r>
                <w:rPr>
                  <w:rFonts w:ascii="Times New Roman" w:eastAsia="Times New Roman" w:hAnsi="Times New Roman" w:cs="Times New Roman"/>
                  <w:b w:val="0"/>
                  <w:bCs w:val="0"/>
                  <w:i w:val="0"/>
                  <w:iCs w:val="0"/>
                  <w:smallCaps w:val="0"/>
                  <w:color w:val="0000EE"/>
                  <w:sz w:val="20"/>
                  <w:szCs w:val="20"/>
                  <w:u w:val="single" w:color="0000EE"/>
                </w:rPr>
                <w:t>Convertible Promissory Note dated November 17, 2021 (incorporated by reference to our Current Report on Form 8-K filed on November 23, 2021).</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10" w:history="1">
              <w:r>
                <w:rPr>
                  <w:rFonts w:ascii="Times New Roman" w:eastAsia="Times New Roman" w:hAnsi="Times New Roman" w:cs="Times New Roman"/>
                  <w:b w:val="0"/>
                  <w:bCs w:val="0"/>
                  <w:i w:val="0"/>
                  <w:iCs w:val="0"/>
                  <w:smallCaps w:val="0"/>
                  <w:color w:val="0000EE"/>
                  <w:sz w:val="20"/>
                  <w:szCs w:val="20"/>
                  <w:u w:val="single" w:color="0000EE"/>
                </w:rPr>
                <w:t>Description of Securities Registered Pursuant to Section 12 of the Exchange Act (incorporated by reference to our Annual Report on Form 10-K filed on March 30, 2022).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11" w:history="1">
              <w:r>
                <w:rPr>
                  <w:rFonts w:ascii="Times New Roman" w:eastAsia="Times New Roman" w:hAnsi="Times New Roman" w:cs="Times New Roman"/>
                  <w:b w:val="0"/>
                  <w:bCs w:val="0"/>
                  <w:i w:val="0"/>
                  <w:iCs w:val="0"/>
                  <w:smallCaps w:val="0"/>
                  <w:color w:val="0000EE"/>
                  <w:sz w:val="20"/>
                  <w:szCs w:val="20"/>
                  <w:u w:val="single" w:color="0000EE"/>
                </w:rPr>
                <w:t>Offer Letter dated December 12, 2018 from the Company and accepted by Ms. Heung Mei Tsui for Ms. Tsui serving as a director of the Company (incorporated by reference to Exhibit 10.1 to our Annual Report on Form 10-K filed on March 28, 2019).</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12" w:history="1">
              <w:r>
                <w:rPr>
                  <w:rFonts w:ascii="Times New Roman" w:eastAsia="Times New Roman" w:hAnsi="Times New Roman" w:cs="Times New Roman"/>
                  <w:b w:val="0"/>
                  <w:bCs w:val="0"/>
                  <w:i w:val="0"/>
                  <w:iCs w:val="0"/>
                  <w:smallCaps w:val="0"/>
                  <w:color w:val="0000EE"/>
                  <w:sz w:val="20"/>
                  <w:szCs w:val="20"/>
                  <w:u w:val="single" w:color="0000EE"/>
                </w:rPr>
                <w:t>Offer Letter dated December 12, 2018 from the Company and accepted by Ms. Zhilin Li for Ms. Li serving as a director of the Company (incorporated by reference to Exhibit 10.2 to our Annual Report on Form 10-K filed on March 28, 2019).</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13" w:history="1">
              <w:r>
                <w:rPr>
                  <w:rFonts w:ascii="Times New Roman" w:eastAsia="Times New Roman" w:hAnsi="Times New Roman" w:cs="Times New Roman"/>
                  <w:b w:val="0"/>
                  <w:bCs w:val="0"/>
                  <w:i w:val="0"/>
                  <w:iCs w:val="0"/>
                  <w:smallCaps w:val="0"/>
                  <w:color w:val="0000EE"/>
                  <w:sz w:val="20"/>
                  <w:szCs w:val="20"/>
                  <w:u w:val="single" w:color="0000EE"/>
                </w:rPr>
                <w:t>Form of Independent Director Engagement Letter (incorporated by reference to Exhibit 10.2 to our Annual Report on Form 10-K filed on March 30, 2015).</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14" w:history="1">
              <w:r>
                <w:rPr>
                  <w:rFonts w:ascii="Times New Roman" w:eastAsia="Times New Roman" w:hAnsi="Times New Roman" w:cs="Times New Roman"/>
                  <w:b w:val="0"/>
                  <w:bCs w:val="0"/>
                  <w:i w:val="0"/>
                  <w:iCs w:val="0"/>
                  <w:smallCaps w:val="0"/>
                  <w:color w:val="0000EE"/>
                  <w:sz w:val="20"/>
                  <w:szCs w:val="20"/>
                  <w:u w:val="single" w:color="0000EE"/>
                </w:rPr>
                <w:t>Employment Agreement dated July 1, 2015 between Hainan Helpson Medical &amp; Biotechnology Co., Ltd. and Zhilin Li (incorporated by reference to Exhibit 10.1 to our Annual Report on Form 10-K filed on March 30, 2016).</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15" w:history="1">
              <w:r>
                <w:rPr>
                  <w:rFonts w:ascii="Times New Roman" w:eastAsia="Times New Roman" w:hAnsi="Times New Roman" w:cs="Times New Roman"/>
                  <w:b w:val="0"/>
                  <w:bCs w:val="0"/>
                  <w:i w:val="0"/>
                  <w:iCs w:val="0"/>
                  <w:smallCaps w:val="0"/>
                  <w:color w:val="0000EE"/>
                  <w:sz w:val="20"/>
                  <w:szCs w:val="20"/>
                  <w:u w:val="single" w:color="0000EE"/>
                </w:rPr>
                <w:t>Form of Restricted Stock Grant Agreement between the Company and the grantees under 2010 Long-Term Incentive Plan of the Company (incorporated by reference to our Current Report on Form 8-K filed on June 1, 2011).</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16" w:history="1">
              <w:r>
                <w:rPr>
                  <w:rFonts w:ascii="Times New Roman" w:eastAsia="Times New Roman" w:hAnsi="Times New Roman" w:cs="Times New Roman"/>
                  <w:b w:val="0"/>
                  <w:bCs w:val="0"/>
                  <w:i w:val="0"/>
                  <w:iCs w:val="0"/>
                  <w:smallCaps w:val="0"/>
                  <w:color w:val="0000EE"/>
                  <w:sz w:val="20"/>
                  <w:szCs w:val="20"/>
                  <w:u w:val="single" w:color="0000EE"/>
                </w:rPr>
                <w:t>Form of Non-Qualified Stock Option Grant Agreement between the Company and the grantees under 2010 Long-Term Incentive Plan of the Company (incorporated by reference to our Current Report on Form 8-K filed on June 1, 2011).</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17" w:history="1">
              <w:r>
                <w:rPr>
                  <w:rFonts w:ascii="Times New Roman" w:eastAsia="Times New Roman" w:hAnsi="Times New Roman" w:cs="Times New Roman"/>
                  <w:b w:val="0"/>
                  <w:bCs w:val="0"/>
                  <w:i w:val="0"/>
                  <w:iCs w:val="0"/>
                  <w:smallCaps w:val="0"/>
                  <w:color w:val="0000EE"/>
                  <w:sz w:val="20"/>
                  <w:szCs w:val="20"/>
                  <w:u w:val="single" w:color="0000EE"/>
                </w:rPr>
                <w:t>Amended and Restate 2010 Long-Term Incentive Plan of China Pharma Holdings, Inc. (incorporated by reference to the Appendix A of our Proxy Statement on Schedule 14A filed on November 14, 2022)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18" w:history="1">
              <w:r>
                <w:rPr>
                  <w:rFonts w:ascii="Times New Roman" w:eastAsia="Times New Roman" w:hAnsi="Times New Roman" w:cs="Times New Roman"/>
                  <w:b w:val="0"/>
                  <w:bCs w:val="0"/>
                  <w:i w:val="0"/>
                  <w:iCs w:val="0"/>
                  <w:smallCaps w:val="0"/>
                  <w:color w:val="0000EE"/>
                  <w:sz w:val="20"/>
                  <w:szCs w:val="20"/>
                  <w:u w:val="single" w:color="0000EE"/>
                </w:rPr>
                <w:t>Amendment No.1 to the Amended and Restate 2010 Long-Term Incentive Plan of China Pharma Holdings, Inc. (incorporated by reference to the Appendix A of our Proxy Statement on Schedule 14A filed on November 7, 2023)</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19" w:history="1">
              <w:r>
                <w:rPr>
                  <w:rFonts w:ascii="Times New Roman" w:eastAsia="Times New Roman" w:hAnsi="Times New Roman" w:cs="Times New Roman"/>
                  <w:b w:val="0"/>
                  <w:bCs w:val="0"/>
                  <w:i w:val="0"/>
                  <w:iCs w:val="0"/>
                  <w:smallCaps w:val="0"/>
                  <w:color w:val="0000EE"/>
                  <w:sz w:val="20"/>
                  <w:szCs w:val="20"/>
                  <w:u w:val="single" w:color="0000EE"/>
                </w:rPr>
                <w:t>Securities Purchase Agreement between China Pharma Holdings, Inc. and Streeterville Capital, LLC dated November 17, 2021 (incorporated by reference to our Current Report on Form 8-K filed on November 23, 2021).</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10.10</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20" w:history="1">
              <w:r>
                <w:rPr>
                  <w:rFonts w:ascii="Times New Roman" w:eastAsia="Times New Roman" w:hAnsi="Times New Roman" w:cs="Times New Roman"/>
                  <w:b w:val="0"/>
                  <w:bCs w:val="0"/>
                  <w:i w:val="0"/>
                  <w:iCs w:val="0"/>
                  <w:smallCaps w:val="0"/>
                  <w:color w:val="0000EE"/>
                  <w:sz w:val="20"/>
                  <w:szCs w:val="20"/>
                  <w:u w:val="single" w:color="0000EE"/>
                </w:rPr>
                <w:t>Convertible Promissory Note dated November 17, 2021 (incorporated by reference to our Current Report on Form 8-K filed on November 23, 2021)</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21" w:history="1">
              <w:r>
                <w:rPr>
                  <w:rFonts w:ascii="Times New Roman" w:eastAsia="Times New Roman" w:hAnsi="Times New Roman" w:cs="Times New Roman"/>
                  <w:b w:val="0"/>
                  <w:bCs w:val="0"/>
                  <w:i w:val="0"/>
                  <w:iCs w:val="0"/>
                  <w:smallCaps w:val="0"/>
                  <w:color w:val="0000EE"/>
                  <w:sz w:val="20"/>
                  <w:szCs w:val="20"/>
                  <w:u w:val="single" w:color="0000EE"/>
                </w:rPr>
                <w:t>Amendment to the Convertible Note. (incorporated by reference to our Current Report on Form 8-K filed on April 20, 2023)</w:t>
              </w:r>
            </w:hyperlink>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42"/>
        <w:gridCol w:w="94"/>
        <w:gridCol w:w="8420"/>
      </w:tblGrid>
      <w:tr>
        <w:tblPrEx>
          <w:tblW w:w="5000" w:type="pct"/>
          <w:tblInd w:w="5" w:type="dxa"/>
          <w:tblCellMar>
            <w:top w:w="0" w:type="dxa"/>
            <w:left w:w="0" w:type="dxa"/>
            <w:bottom w:w="0" w:type="dxa"/>
            <w:right w:w="0" w:type="dxa"/>
          </w:tblCellMar>
        </w:tblPrEx>
        <w:tc>
          <w:tcPr>
            <w:tcW w:w="450" w:type="pct"/>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10.12</w:t>
            </w:r>
          </w:p>
        </w:tc>
        <w:tc>
          <w:tcPr>
            <w:tcW w:w="50" w:type="pct"/>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0" w:type="pct"/>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22" w:history="1">
              <w:r>
                <w:rPr>
                  <w:rFonts w:ascii="Times New Roman" w:eastAsia="Times New Roman" w:hAnsi="Times New Roman" w:cs="Times New Roman"/>
                  <w:b w:val="0"/>
                  <w:bCs w:val="0"/>
                  <w:i w:val="0"/>
                  <w:iCs w:val="0"/>
                  <w:smallCaps w:val="0"/>
                  <w:color w:val="0000EE"/>
                  <w:sz w:val="20"/>
                  <w:szCs w:val="20"/>
                  <w:u w:val="single" w:color="0000EE"/>
                </w:rPr>
                <w:t>Technology Transfer Contract between Hainan Helpson Medical &amp; Biotechnology Co., Ltd and Chengdu Bonier Medical Technology Development Co., Ltd. dated November 28, 2022 (incorporated by reference to our Current Report on Form 8-K filed on December 2, 2022)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10.13*#</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23" w:history="1">
              <w:r>
                <w:rPr>
                  <w:rFonts w:ascii="Times New Roman" w:eastAsia="Times New Roman" w:hAnsi="Times New Roman" w:cs="Times New Roman"/>
                  <w:b w:val="0"/>
                  <w:bCs w:val="0"/>
                  <w:i w:val="0"/>
                  <w:iCs w:val="0"/>
                  <w:smallCaps w:val="0"/>
                  <w:color w:val="0000EE"/>
                  <w:sz w:val="20"/>
                  <w:szCs w:val="20"/>
                  <w:u w:val="single" w:color="0000EE"/>
                </w:rPr>
                <w:t>Loan Settlement Agreement between China Pharma Holdings, Inc. and Ms. Zhilin Li.</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10.14*#</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24" w:history="1">
              <w:r>
                <w:rPr>
                  <w:rFonts w:ascii="Times New Roman" w:eastAsia="Times New Roman" w:hAnsi="Times New Roman" w:cs="Times New Roman"/>
                  <w:b w:val="0"/>
                  <w:bCs w:val="0"/>
                  <w:i w:val="0"/>
                  <w:iCs w:val="0"/>
                  <w:smallCaps w:val="0"/>
                  <w:color w:val="0000EE"/>
                  <w:sz w:val="20"/>
                  <w:szCs w:val="20"/>
                  <w:u w:val="single" w:color="0000EE"/>
                </w:rPr>
                <w:t>Technology Transfer Agreement between Hainan Helpson Medical &amp; Biotechnology Co., Ltd and Tao Liu.</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10.15*#</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25" w:history="1">
              <w:r>
                <w:rPr>
                  <w:rFonts w:ascii="Times New Roman" w:eastAsia="Times New Roman" w:hAnsi="Times New Roman" w:cs="Times New Roman"/>
                  <w:b w:val="0"/>
                  <w:bCs w:val="0"/>
                  <w:i w:val="0"/>
                  <w:iCs w:val="0"/>
                  <w:smallCaps w:val="0"/>
                  <w:color w:val="0000EE"/>
                  <w:sz w:val="20"/>
                  <w:szCs w:val="20"/>
                  <w:u w:val="single" w:color="0000EE"/>
                </w:rPr>
                <w:t>Technology Transfer Agreement between Hainan Helpson Medical &amp; Biotechnology Co., Ltd and Lihua Li.</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10.16*#</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26" w:history="1">
              <w:r>
                <w:rPr>
                  <w:rFonts w:ascii="Times New Roman" w:eastAsia="Times New Roman" w:hAnsi="Times New Roman" w:cs="Times New Roman"/>
                  <w:b w:val="0"/>
                  <w:bCs w:val="0"/>
                  <w:i w:val="0"/>
                  <w:iCs w:val="0"/>
                  <w:smallCaps w:val="0"/>
                  <w:color w:val="0000EE"/>
                  <w:sz w:val="20"/>
                  <w:szCs w:val="20"/>
                  <w:u w:val="single" w:color="0000EE"/>
                </w:rPr>
                <w:t>Office Lease for Second Floor of the Company’s Principal Executive Office Dated June 5, 2023.</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10.17*#</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27" w:history="1">
              <w:r>
                <w:rPr>
                  <w:rFonts w:ascii="Times New Roman" w:eastAsia="Times New Roman" w:hAnsi="Times New Roman" w:cs="Times New Roman"/>
                  <w:b w:val="0"/>
                  <w:bCs w:val="0"/>
                  <w:i w:val="0"/>
                  <w:iCs w:val="0"/>
                  <w:smallCaps w:val="0"/>
                  <w:color w:val="0000EE"/>
                  <w:sz w:val="20"/>
                  <w:szCs w:val="20"/>
                  <w:u w:val="single" w:color="0000EE"/>
                </w:rPr>
                <w:t>Office Lease for Third Floor of the Company’s Principal Executive Office Dated June 5, 2023.</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28" w:history="1">
              <w:r>
                <w:rPr>
                  <w:rFonts w:ascii="Times New Roman" w:eastAsia="Times New Roman" w:hAnsi="Times New Roman" w:cs="Times New Roman"/>
                  <w:b w:val="0"/>
                  <w:bCs w:val="0"/>
                  <w:i w:val="0"/>
                  <w:iCs w:val="0"/>
                  <w:smallCaps w:val="0"/>
                  <w:color w:val="0000EE"/>
                  <w:sz w:val="20"/>
                  <w:szCs w:val="20"/>
                  <w:u w:val="single" w:color="0000EE"/>
                </w:rPr>
                <w:t>Code of Business Conduct and Ethics (incorporated by reference to the Registration Statement on Form S-1 filed on July 11, 2008).</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29" w:history="1">
              <w:r>
                <w:rPr>
                  <w:rFonts w:ascii="Times New Roman" w:eastAsia="Times New Roman" w:hAnsi="Times New Roman" w:cs="Times New Roman"/>
                  <w:b w:val="0"/>
                  <w:bCs w:val="0"/>
                  <w:i w:val="0"/>
                  <w:iCs w:val="0"/>
                  <w:smallCaps w:val="0"/>
                  <w:color w:val="0000EE"/>
                  <w:sz w:val="20"/>
                  <w:szCs w:val="20"/>
                  <w:u w:val="single" w:color="0000EE"/>
                </w:rPr>
                <w:t>Subsidiaries of the Company (incorporated by reference to our Annual Report on Form 10-K filed on March 3, 2011).</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30" w:history="1">
              <w:r>
                <w:rPr>
                  <w:rFonts w:ascii="Times New Roman" w:eastAsia="Times New Roman" w:hAnsi="Times New Roman" w:cs="Times New Roman"/>
                  <w:b w:val="0"/>
                  <w:bCs w:val="0"/>
                  <w:i w:val="0"/>
                  <w:iCs w:val="0"/>
                  <w:smallCaps w:val="0"/>
                  <w:color w:val="0000EE"/>
                  <w:sz w:val="20"/>
                  <w:szCs w:val="20"/>
                  <w:u w:val="single" w:color="0000EE"/>
                </w:rPr>
                <w:t>Consent of the Independent Accounting Firm.</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31" w:history="1">
              <w:r>
                <w:rPr>
                  <w:rFonts w:ascii="Times New Roman" w:eastAsia="Times New Roman" w:hAnsi="Times New Roman" w:cs="Times New Roman"/>
                  <w:b w:val="0"/>
                  <w:bCs w:val="0"/>
                  <w:i w:val="0"/>
                  <w:iCs w:val="0"/>
                  <w:smallCaps w:val="0"/>
                  <w:color w:val="0000EE"/>
                  <w:sz w:val="20"/>
                  <w:szCs w:val="20"/>
                  <w:u w:val="single" w:color="0000EE"/>
                </w:rPr>
                <w:t>Certification of Chief Executive Officer pursuant to Rule 13a-14 and Rule 15d-14(a) of the Exchange Act.</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32" w:history="1">
              <w:r>
                <w:rPr>
                  <w:rFonts w:ascii="Times New Roman" w:eastAsia="Times New Roman" w:hAnsi="Times New Roman" w:cs="Times New Roman"/>
                  <w:b w:val="0"/>
                  <w:bCs w:val="0"/>
                  <w:i w:val="0"/>
                  <w:iCs w:val="0"/>
                  <w:smallCaps w:val="0"/>
                  <w:color w:val="0000EE"/>
                  <w:sz w:val="20"/>
                  <w:szCs w:val="20"/>
                  <w:u w:val="single" w:color="0000EE"/>
                </w:rPr>
                <w:t>Certification of Chief Financial Officer pursuant to Rule 13a-14 and Rule 15d-14(a) of the Exchange Act.</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33" w:history="1">
              <w:r>
                <w:rPr>
                  <w:rFonts w:ascii="Times New Roman" w:eastAsia="Times New Roman" w:hAnsi="Times New Roman" w:cs="Times New Roman"/>
                  <w:b w:val="0"/>
                  <w:bCs w:val="0"/>
                  <w:i w:val="0"/>
                  <w:iCs w:val="0"/>
                  <w:smallCaps w:val="0"/>
                  <w:color w:val="0000EE"/>
                  <w:sz w:val="20"/>
                  <w:szCs w:val="20"/>
                  <w:u w:val="single" w:color="0000EE"/>
                </w:rPr>
                <w:t>Certification of Chief Executive Officer and Chief Financial Officer pursuant to 18 U.S.C. Section 1350, as adopted pursuant to Section 906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34" w:history="1">
              <w:r>
                <w:rPr>
                  <w:rFonts w:ascii="Times New Roman" w:eastAsia="Times New Roman" w:hAnsi="Times New Roman" w:cs="Times New Roman"/>
                  <w:b w:val="0"/>
                  <w:bCs w:val="0"/>
                  <w:i w:val="0"/>
                  <w:iCs w:val="0"/>
                  <w:smallCaps w:val="0"/>
                  <w:color w:val="0000EE"/>
                  <w:sz w:val="20"/>
                  <w:szCs w:val="20"/>
                  <w:u w:val="single" w:color="0000EE"/>
                </w:rPr>
                <w:t>Compensation Recovery Policy of the Company</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Interactive data files pursuant to Rule 405 of Regulation S-T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101.INS</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Instance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101.SCH</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Schema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101.CAL</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Calculation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101.DEF</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Definition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101.LAB</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Label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101.PRE</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Presentation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Cover Page Interactive Data File (formatted as Inline XBRL and contained in Exhibit 101).</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898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Exhibits filed herewith.</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Portions of the exhibit, including certain private and confidential information has been omitted pursuant to Item 601(a)(6) and Item 601(b)(10)(iv) of Regulation S-K. The Registrant hereby agrees to furnish a copy of any omitted portion to the SEC upon request.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28" w:name="a_028"/>
      <w:bookmarkEnd w:id="28"/>
      <w:r>
        <w:rPr>
          <w:rFonts w:ascii="Times New Roman" w:eastAsia="Times New Roman" w:hAnsi="Times New Roman" w:cs="Times New Roman"/>
          <w:b/>
          <w:bCs/>
          <w:i w:val="0"/>
          <w:iCs w:val="0"/>
          <w:smallCaps w:val="0"/>
          <w:sz w:val="20"/>
          <w:szCs w:val="20"/>
        </w:rPr>
        <w:t>CHINA PHARMA HOLDINGS, INC. AND SUBSIDIARIES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420"/>
        <w:gridCol w:w="935"/>
      </w:tblGrid>
      <w:tr>
        <w:tblPrEx>
          <w:tblW w:w="5000" w:type="pct"/>
          <w:tblInd w:w="5" w:type="dxa"/>
          <w:tblCellMar>
            <w:top w:w="0" w:type="dxa"/>
            <w:left w:w="0" w:type="dxa"/>
            <w:bottom w:w="0" w:type="dxa"/>
            <w:right w:w="0" w:type="dxa"/>
          </w:tblCellMar>
        </w:tblPrEx>
        <w:tc>
          <w:tcPr>
            <w:tcW w:w="4500" w:type="pct"/>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f_002" w:history="1">
              <w:r>
                <w:rPr>
                  <w:rFonts w:ascii="Times New Roman" w:eastAsia="Times New Roman" w:hAnsi="Times New Roman" w:cs="Times New Roman"/>
                  <w:b w:val="0"/>
                  <w:bCs w:val="0"/>
                  <w:i w:val="0"/>
                  <w:iCs w:val="0"/>
                  <w:smallCaps w:val="0"/>
                  <w:color w:val="0000EE"/>
                  <w:sz w:val="20"/>
                  <w:szCs w:val="20"/>
                  <w:u w:val="single" w:color="0000EE"/>
                </w:rPr>
                <w:t>Consolidated Balance Sheets as of December 31, 2023 and 2022</w:t>
              </w:r>
            </w:hyperlink>
          </w:p>
        </w:tc>
        <w:tc>
          <w:tcPr>
            <w:tcW w:w="500" w:type="pct"/>
            <w:shd w:val="clear" w:color="auto" w:fill="CCEEFF"/>
            <w:noWrap w:val="0"/>
            <w:tcMar>
              <w:top w:w="5" w:type="dxa"/>
              <w:left w:w="5" w:type="dxa"/>
              <w:bottom w:w="5" w:type="dxa"/>
              <w:right w:w="21"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F-3</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725" w:type="dxa"/>
              <w:bottom w:w="5" w:type="dxa"/>
              <w:right w:w="21" w:type="dxa"/>
            </w:tcMar>
            <w:vAlign w:val="top"/>
            <w:hideMark/>
          </w:tcPr>
          <w:p>
            <w:pPr>
              <w:ind w:hanging="720"/>
              <w:rPr>
                <w:rFonts w:ascii="Times New Roman" w:eastAsia="Times New Roman" w:hAnsi="Times New Roman" w:cs="Times New Roman"/>
                <w:b w:val="0"/>
                <w:bCs w:val="0"/>
                <w:i w:val="0"/>
                <w:iCs w:val="0"/>
                <w:smallCaps w:val="0"/>
                <w:color w:val="000000"/>
                <w:sz w:val="20"/>
                <w:szCs w:val="20"/>
              </w:rPr>
            </w:pPr>
            <w:hyperlink w:anchor="f_003" w:history="1">
              <w:r>
                <w:rPr>
                  <w:rFonts w:ascii="Times New Roman" w:eastAsia="Times New Roman" w:hAnsi="Times New Roman" w:cs="Times New Roman"/>
                  <w:b w:val="0"/>
                  <w:bCs w:val="0"/>
                  <w:i w:val="0"/>
                  <w:iCs w:val="0"/>
                  <w:smallCaps w:val="0"/>
                  <w:color w:val="0000EE"/>
                  <w:sz w:val="20"/>
                  <w:szCs w:val="20"/>
                  <w:u w:val="single" w:color="0000EE"/>
                </w:rPr>
                <w:t>Consolidated Statements of Operations and Comprehensive Loss for the Years Ended December 31, 2023 and 2022</w:t>
              </w:r>
            </w:hyperlink>
          </w:p>
        </w:tc>
        <w:tc>
          <w:tcPr>
            <w:shd w:val="clear" w:color="auto" w:fill="CCEEFF"/>
            <w:noWrap w:val="0"/>
            <w:tcMar>
              <w:top w:w="5" w:type="dxa"/>
              <w:left w:w="5" w:type="dxa"/>
              <w:bottom w:w="5" w:type="dxa"/>
              <w:right w:w="21"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F-4</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f_004" w:history="1">
              <w:r>
                <w:rPr>
                  <w:rFonts w:ascii="Times New Roman" w:eastAsia="Times New Roman" w:hAnsi="Times New Roman" w:cs="Times New Roman"/>
                  <w:b w:val="0"/>
                  <w:bCs w:val="0"/>
                  <w:i w:val="0"/>
                  <w:iCs w:val="0"/>
                  <w:smallCaps w:val="0"/>
                  <w:color w:val="0000EE"/>
                  <w:sz w:val="20"/>
                  <w:szCs w:val="20"/>
                  <w:u w:val="single" w:color="0000EE"/>
                </w:rPr>
                <w:t>Consolidated Statements of Stockholders’ Equity for the Years Ended December 31, 2023 and 2022</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725" w:type="dxa"/>
              <w:bottom w:w="5" w:type="dxa"/>
              <w:right w:w="21" w:type="dxa"/>
            </w:tcMar>
            <w:vAlign w:val="top"/>
            <w:hideMark/>
          </w:tcPr>
          <w:p>
            <w:pPr>
              <w:ind w:hanging="720"/>
              <w:rPr>
                <w:rFonts w:ascii="Times New Roman" w:eastAsia="Times New Roman" w:hAnsi="Times New Roman" w:cs="Times New Roman"/>
                <w:b w:val="0"/>
                <w:bCs w:val="0"/>
                <w:i w:val="0"/>
                <w:iCs w:val="0"/>
                <w:smallCaps w:val="0"/>
                <w:color w:val="000000"/>
                <w:sz w:val="20"/>
                <w:szCs w:val="20"/>
              </w:rPr>
            </w:pPr>
            <w:hyperlink w:anchor="f_005" w:history="1">
              <w:r>
                <w:rPr>
                  <w:rFonts w:ascii="Times New Roman" w:eastAsia="Times New Roman" w:hAnsi="Times New Roman" w:cs="Times New Roman"/>
                  <w:b w:val="0"/>
                  <w:bCs w:val="0"/>
                  <w:i w:val="0"/>
                  <w:iCs w:val="0"/>
                  <w:smallCaps w:val="0"/>
                  <w:color w:val="0000EE"/>
                  <w:sz w:val="20"/>
                  <w:szCs w:val="20"/>
                  <w:u w:val="single" w:color="0000EE"/>
                </w:rPr>
                <w:t>Consolidated Statements of Cash Flows for the Years Ended December 31, 2023 and 2022</w:t>
              </w:r>
            </w:hyperlink>
          </w:p>
        </w:tc>
        <w:tc>
          <w:tcPr>
            <w:shd w:val="clear" w:color="auto" w:fill="CCEEFF"/>
            <w:noWrap w:val="0"/>
            <w:tcMar>
              <w:top w:w="5" w:type="dxa"/>
              <w:left w:w="5" w:type="dxa"/>
              <w:bottom w:w="5" w:type="dxa"/>
              <w:right w:w="21"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F-6</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725" w:type="dxa"/>
              <w:bottom w:w="5" w:type="dxa"/>
              <w:right w:w="21" w:type="dxa"/>
            </w:tcMar>
            <w:vAlign w:val="top"/>
            <w:hideMark/>
          </w:tcPr>
          <w:p>
            <w:pPr>
              <w:ind w:hanging="720"/>
              <w:rPr>
                <w:rFonts w:ascii="Times New Roman" w:eastAsia="Times New Roman" w:hAnsi="Times New Roman" w:cs="Times New Roman"/>
                <w:b w:val="0"/>
                <w:bCs w:val="0"/>
                <w:i w:val="0"/>
                <w:iCs w:val="0"/>
                <w:smallCaps w:val="0"/>
                <w:color w:val="000000"/>
                <w:sz w:val="20"/>
                <w:szCs w:val="20"/>
              </w:rPr>
            </w:pPr>
            <w:hyperlink w:anchor="f_006" w:history="1">
              <w:r>
                <w:rPr>
                  <w:rFonts w:ascii="Times New Roman" w:eastAsia="Times New Roman" w:hAnsi="Times New Roman" w:cs="Times New Roman"/>
                  <w:b w:val="0"/>
                  <w:bCs w:val="0"/>
                  <w:i w:val="0"/>
                  <w:iCs w:val="0"/>
                  <w:smallCaps w:val="0"/>
                  <w:color w:val="0000EE"/>
                  <w:sz w:val="20"/>
                  <w:szCs w:val="20"/>
                  <w:u w:val="single" w:color="0000EE"/>
                </w:rPr>
                <w:t>Notes to Consolidated Financial Statements</w:t>
              </w:r>
            </w:hyperlink>
          </w:p>
        </w:tc>
        <w:tc>
          <w:tcPr>
            <w:shd w:val="clear" w:color="auto" w:fill="CCEEFF"/>
            <w:noWrap w:val="0"/>
            <w:tcMar>
              <w:top w:w="5" w:type="dxa"/>
              <w:left w:w="5" w:type="dxa"/>
              <w:bottom w:w="5" w:type="dxa"/>
              <w:right w:w="21"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F-7</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29" w:name="f_001"/>
      <w:bookmarkEnd w:id="29"/>
      <w:r>
        <w:rPr>
          <w:rFonts w:ascii="Times New Roman" w:eastAsia="Times New Roman" w:hAnsi="Times New Roman" w:cs="Times New Roman"/>
          <w:b/>
          <w:bCs/>
          <w:i w:val="0"/>
          <w:iCs w:val="0"/>
          <w:smallCaps w:val="0"/>
          <w:sz w:val="20"/>
          <w:szCs w:val="20"/>
        </w:rPr>
        <w:t>REPORT OF INDEPENDENT REGISTERED PUBLIC ACCOUNTING FIRM</w:t>
      </w:r>
    </w:p>
    <w:p>
      <w:pPr>
        <w:spacing w:before="0" w:after="0"/>
        <w:ind w:left="0" w:right="0"/>
        <w:jc w:val="center"/>
        <w:rPr>
          <w:rFonts w:ascii="Times New Roman" w:eastAsia="Times New Roman" w:hAnsi="Times New Roman" w:cs="Times New Roman"/>
          <w:b w:val="0"/>
          <w:bCs w:val="0"/>
          <w:i w:val="0"/>
          <w:iCs w:val="0"/>
          <w:smallCaps w:val="0"/>
          <w:sz w:val="16"/>
          <w:szCs w:val="16"/>
        </w:rPr>
      </w:pPr>
      <w:r>
        <w:rPr>
          <w:rFonts w:ascii="Times New Roman" w:eastAsia="Times New Roman" w:hAnsi="Times New Roman" w:cs="Times New Roman"/>
          <w:b/>
          <w:bCs/>
          <w:i w:val="0"/>
          <w:iCs w:val="0"/>
          <w:smallCaps w:val="0"/>
          <w:sz w:val="16"/>
          <w:szCs w:val="16"/>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 the shareholders and the board of directors of China Pharma Holdings, Inc.</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Opinion on the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audited the accompanying consolidated balance sheets of China Pharma Holdings, Inc. as of December 31, 2023 and 2022, the related statements of operations, stockholders' equity (deficit), and cash flows for the years then ended, and the related notes (collectively referred to as the "financial statements"). In our opinion, the financial statements present fairly, in all material respects, the financial position of the Company as of December 31, 2023 and 2022, and the results of its operations and its cash flows for the years then ended, in conformity with accounting principles generally accepted in the United States.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Substantial Doubt about the Company’s Ability to Continue as a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financial statements have been prepared assuming that the Company will continue as a going concern. As discussed in Note 1 to the financial statements, the Company’s significant operating losses raise substantial doubt about its ability to continue as a going concern. The financial statements do not include any adjustments that might result from the outcome of this uncertainty.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Basis for Opinion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financial statements are the responsibility of the Company's management. Our responsibility is to express an opinion on the Company's financial statements based on our audit. We are a public accounting firm registered with the Public Company Accounting Oversight Board (United States) ("PCAOB") and are required to be independent with respect to the Company in accordance with the U.S. federal securities laws and the applicable rules and regulations of the Securities and Exchange Commission and the PCAOB.</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conducted our audit in accordance with the standards of the PCAOB. Those standards require that we plan and perform the audit to obtain reasonable assurance about whether the financial statements are free of material misstatement, whether due to error or fraud. The Company is not required to have, nor were we engaged to perform, an audit of its internal control over financial reporting. As part of our audits we are required to obtain an understanding of internal control over financial reporting but not for the purpose of expressing an opinion on the effectiveness of the Company’s internal control over financial reporting. Accordingly, we express no such opinion.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audit included performing procedures to assess the risks of material misstatement of the financial statements, whether due to error or fraud, and performing procedures that respond to those risks. Such procedures included examining, on a test basis, evidence regarding the amounts and disclosures in the financial statements. Our audit also included evaluating the accounting principles used and significant estimates made by management, as well as evaluating the overall presentation of the financial statements. We believe that our audit provides a reasonable basis for our opinion.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Critical Audit Matter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Critical audit matters are matters arising from the current-period audit of the financial statements that were communicated or required to be communicated to the audit committee and that (1) relate to accounts or disclosures that are material to the financial statements and (2) involved our especially challenging, subjective, or complex judgments.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determined that there are no critical audit matters.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 BF Borgers CPA PC (PCAOB ID 5041)</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have served as the Company's auditor since 2016</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Lakewood, CO</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April 1, 2024</w:t>
      </w:r>
    </w:p>
    <w:p>
      <w:pPr>
        <w:spacing w:before="0" w:after="0"/>
        <w:ind w:left="0" w:right="0"/>
        <w:jc w:val="center"/>
        <w:rPr>
          <w:rFonts w:ascii="Times New Roman" w:eastAsia="Times New Roman" w:hAnsi="Times New Roman" w:cs="Times New Roman"/>
          <w:b w:val="0"/>
          <w:bCs w:val="0"/>
          <w:i w:val="0"/>
          <w:iCs w:val="0"/>
          <w:smallCaps w:val="0"/>
          <w:sz w:val="16"/>
          <w:szCs w:val="16"/>
        </w:rPr>
      </w:pPr>
      <w:r>
        <w:rPr>
          <w:rFonts w:ascii="Times New Roman" w:eastAsia="Times New Roman" w:hAnsi="Times New Roman" w:cs="Times New Roman"/>
          <w:b/>
          <w:bCs/>
          <w:i w:val="0"/>
          <w:iCs w:val="0"/>
          <w:smallCaps w:val="0"/>
          <w:sz w:val="16"/>
          <w:szCs w:val="16"/>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bookmarkStart w:id="30" w:name="f_002"/>
      <w:bookmarkEnd w:id="30"/>
      <w:r>
        <w:rPr>
          <w:rFonts w:ascii="Times New Roman" w:eastAsia="Times New Roman" w:hAnsi="Times New Roman" w:cs="Times New Roman"/>
          <w:b/>
          <w:bCs/>
          <w:i w:val="0"/>
          <w:iCs w:val="0"/>
          <w:smallCaps w:val="0"/>
          <w:sz w:val="20"/>
          <w:szCs w:val="20"/>
        </w:rPr>
        <w:t>CHINA PHARMA HOLDINGS, INC.</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CONSOLIDATED BALANCE SHEETS</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185" w:type="dxa"/>
        <w:tblCellMar>
          <w:top w:w="0" w:type="dxa"/>
          <w:left w:w="0" w:type="dxa"/>
          <w:bottom w:w="0" w:type="dxa"/>
          <w:right w:w="0" w:type="dxa"/>
        </w:tblCellMar>
      </w:tblPr>
      <w:tblGrid>
        <w:gridCol w:w="6647"/>
        <w:gridCol w:w="87"/>
        <w:gridCol w:w="110"/>
        <w:gridCol w:w="977"/>
        <w:gridCol w:w="91"/>
        <w:gridCol w:w="87"/>
        <w:gridCol w:w="110"/>
        <w:gridCol w:w="977"/>
        <w:gridCol w:w="91"/>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3800" w:type="pct"/>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and cash equivalents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1,423,838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2,029,971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 less allowance for doubtful accounts of $13,786,074 and $16,739,527,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504,448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421,531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receivables, less allowance for doubtful accounts of $27,017 and $27,149,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157,944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29,139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to suppliers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2,013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444,637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3,732,517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2,947,787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110,258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77,697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5,996,933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5,964,546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Property, plant and equipment, net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7,100,425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9,973,065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Operating lease right of use asset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116,610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39,046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assets, net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3,255,232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1,807,486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ASSETS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16,469,200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17,784,143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LIABILITIES AND STOCKHOLDERS’ EQUITY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966,420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667,082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298,829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404,807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payables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2,282,692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2,390,063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from customers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90,507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520,295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Borrowings from related parties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1,133,809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2,475,840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Operating lease liability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77,727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40,445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Current portion of lines of credit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1,030,680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2,440,915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redeemable note payable, net of issue discount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3,800,000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Current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6,820,664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12,739,447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Non-current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Operating lease liability, net of current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39,910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Lines of credit, net of current portion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1,411,891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Deferred tax liability</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742,114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754,698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Liabilities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9,014,579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13,494,145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Commitments and Contingencies (Note 9)</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 Equity: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Preferred stock, $0.001 par value; 5,000,000 shares authorized; no shares issued or outstanding</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$0.001 par value; 500,000,000 shares authorized; 10,625,788 shares and 1,498,180 shares issued and outstanding,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Additional paid-in capital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35,282,256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28,926,931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Retained deficit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(39,290,314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(36,211,496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other comprehensive income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11,452,054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11,573,065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Stockholders’ 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7,454,621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4,289,998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LIABILITIES AND STOCKHOLDERS’ EQUITY</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16,469,200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17,784,143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bookmarkStart w:id="31" w:name="f_003"/>
      <w:bookmarkEnd w:id="31"/>
      <w:r>
        <w:rPr>
          <w:rFonts w:ascii="Times New Roman" w:eastAsia="Times New Roman" w:hAnsi="Times New Roman" w:cs="Times New Roman"/>
          <w:b/>
          <w:bCs/>
          <w:i w:val="0"/>
          <w:iCs w:val="0"/>
          <w:smallCaps w:val="0"/>
          <w:sz w:val="20"/>
          <w:szCs w:val="20"/>
        </w:rPr>
        <w:t>CHINA PHARMA HOLDINGS, INC.</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CONSOLIDATED STATEMENTS OF OPERATIONS</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AND COMPREHENSIVE LOSS</w:t>
      </w:r>
    </w:p>
    <w:p>
      <w:pPr>
        <w:spacing w:before="0" w:after="0"/>
        <w:ind w:left="108"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Years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Revenue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7,011,299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8,104,092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7,292,384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8,598,008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Gross (loss) profit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(281,085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(493,916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Operating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780,328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1,069,785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General and administrative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1,466,084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1,893,269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Research and development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240,080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185,858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benefit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(15,757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(93,851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2,470,735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3,055,061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(2,751,820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(3,548,977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income (expense):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income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10,755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(333,600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(434,619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other expense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(326,998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(423,864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before income taxes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(3,078,818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(3,972,841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Income tax  expense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loss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(3,078,818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(3,972,841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comprehensive income (loss) - 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(121,011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(990,764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 loss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(3,199,829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(4,963,605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Loss per share: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 and diluted</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Weighted average shares outstanding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3,383,573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1,051,371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bookmarkStart w:id="32" w:name="f_004"/>
      <w:bookmarkEnd w:id="32"/>
      <w:r>
        <w:rPr>
          <w:rFonts w:ascii="Times New Roman" w:eastAsia="Times New Roman" w:hAnsi="Times New Roman" w:cs="Times New Roman"/>
          <w:b/>
          <w:bCs/>
          <w:i w:val="0"/>
          <w:iCs w:val="0"/>
          <w:smallCaps w:val="0"/>
          <w:sz w:val="20"/>
          <w:szCs w:val="20"/>
        </w:rPr>
        <w:t>CHINA PHARMA HOLDINGS, INC.</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CONSOLIDATED STATEMENTS OF STOCKHOLDERS’ EQUITY</w:t>
      </w:r>
    </w:p>
    <w:p>
      <w:pPr>
        <w:spacing w:before="0" w:after="0"/>
        <w:ind w:left="108"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185" w:type="dxa"/>
        <w:tblCellMar>
          <w:top w:w="0" w:type="dxa"/>
          <w:left w:w="0" w:type="dxa"/>
          <w:bottom w:w="0" w:type="dxa"/>
          <w:right w:w="0" w:type="dxa"/>
        </w:tblCellMar>
      </w:tblPr>
      <w:tblGrid>
        <w:gridCol w:w="2003"/>
        <w:gridCol w:w="52"/>
        <w:gridCol w:w="52"/>
        <w:gridCol w:w="910"/>
        <w:gridCol w:w="52"/>
        <w:gridCol w:w="52"/>
        <w:gridCol w:w="117"/>
        <w:gridCol w:w="705"/>
        <w:gridCol w:w="52"/>
        <w:gridCol w:w="52"/>
        <w:gridCol w:w="110"/>
        <w:gridCol w:w="910"/>
        <w:gridCol w:w="84"/>
        <w:gridCol w:w="52"/>
        <w:gridCol w:w="110"/>
        <w:gridCol w:w="977"/>
        <w:gridCol w:w="84"/>
        <w:gridCol w:w="52"/>
        <w:gridCol w:w="145"/>
        <w:gridCol w:w="1198"/>
        <w:gridCol w:w="84"/>
        <w:gridCol w:w="52"/>
        <w:gridCol w:w="132"/>
        <w:gridCol w:w="1055"/>
        <w:gridCol w:w="84"/>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Additional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 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Paid-in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Retained</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Capital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Deficit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Income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14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December 31, 2021</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946,791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25,691,760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(32,238,655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12,563,829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6,017,881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 of common stock for intangible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310,446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1,707,142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1,707,452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Stock option compensation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36,270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36,270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 of common stock for services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41,994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234,943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1,449,765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year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(3,972,841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(3,972,841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(990,764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(990,764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December 31, 2022</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1,498,180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28,926,931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(36,211,496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11,573,065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4,289,998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 of common stock for intangible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1,647,000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3,362,111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3,362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2,856,638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2,860,000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 of related party note and interest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2,751,412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1,851,701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1,854,452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year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(3,078,818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(3,078,818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(121,011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(121,011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 rounding due to reverse split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14,085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December 31, 2023</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10,625,788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35,282,256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(39,290,314</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11,452,054</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7,454,621</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consolidated</w:t>
      </w: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val="0"/>
          <w:bCs w:val="0"/>
          <w:i w:val="0"/>
          <w:iCs w:val="0"/>
          <w:smallCaps w:val="0"/>
          <w:sz w:val="20"/>
          <w:szCs w:val="20"/>
        </w:rPr>
        <w:t xml:space="preserve">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bookmarkStart w:id="33" w:name="f_005"/>
      <w:bookmarkEnd w:id="33"/>
      <w:r>
        <w:rPr>
          <w:rFonts w:ascii="Times New Roman" w:eastAsia="Times New Roman" w:hAnsi="Times New Roman" w:cs="Times New Roman"/>
          <w:b/>
          <w:bCs/>
          <w:i w:val="0"/>
          <w:iCs w:val="0"/>
          <w:smallCaps w:val="0"/>
          <w:sz w:val="20"/>
          <w:szCs w:val="20"/>
        </w:rPr>
        <w:t>CHINA PHARMA HOLDINGS, INC.</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CONSOLIDATED STATEMENTS OF CASH FLOWS</w:t>
      </w:r>
    </w:p>
    <w:p>
      <w:pPr>
        <w:spacing w:before="0" w:after="0"/>
        <w:ind w:left="108"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Years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Operating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(3,078,818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(3,972,841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2,753,653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2,700,533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(benefit) expense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(93,851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Stock and stock option compensation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78,270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disposal of property, plant &amp;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45,385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Changes in assets and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and other receivables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(938,021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(170,194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to suppliers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437,431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(459,959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(25,032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689,104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312,045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(187,734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payables and accrued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257,778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692,190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from customers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(423,261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339,659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(25,089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(24,722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Used in Operating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(699,686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(409,545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Investing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Purchases of property and equipment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(11,517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(401,964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Used in Investing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(11,517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(401,964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Financing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Payments of line of credit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(1,490,049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(2,140,921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lines of credit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1,532,622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564,965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Borrowings and interest from related party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30,572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28,962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Repayments to related party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(223,013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(Used In) Provided By Financing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73,145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(1,770,007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Effect of Exchange Rate Changes on Cash</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31,925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(247,573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Increase in Cash, Cash Equivalents and Restricted Cash</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(606,133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(2,829,089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and Cash Equivalents at Beginning of Period</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2,029,971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4,859,060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Cash Equivalents and Restricted Cash at End of Period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1,423,838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2,029,971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Supplemental Cash Flow Information: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for income taxes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for interest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92,439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141,797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Supplemental Noncash Investing and Financing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receivable collected with banker’s acceptances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865,733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503,383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 purchased with banker’s acceptances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813,105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575,713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Right-of-use assets obtained in exchange for operating lease obligations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156,273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issued for intangible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1,707,452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 of related party note and interest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1,854,542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34" w:name="f_006"/>
      <w:bookmarkEnd w:id="34"/>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 – ORGANIZATION AND SIGNIFICANT ACCOUNTING POLICIES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Organization and Nature of Operations – </w:t>
      </w:r>
      <w:r>
        <w:rPr>
          <w:rFonts w:ascii="Times New Roman" w:eastAsia="Times New Roman" w:hAnsi="Times New Roman" w:cs="Times New Roman"/>
          <w:b w:val="0"/>
          <w:bCs w:val="0"/>
          <w:i w:val="0"/>
          <w:iCs w:val="0"/>
          <w:smallCaps w:val="0"/>
          <w:sz w:val="20"/>
          <w:szCs w:val="20"/>
        </w:rPr>
        <w:t>China Pharma Holdings, Inc., a Nevada corporation (the “Company”), owns 100% of Onny Investment Limited (“Onny”), a British Virgin Islands corporation, which owns 100% of Hainan Helpson Medical &amp; Biotechnology Co., Ltd (“Helpson”), a company organized under the laws of the People’s Republic of China (the “PRC”). China Pharma Holdings, Inc. and its subsidiaries are referred to herein as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Onny acquired 100% of the ownership in Helpson on May 25, 2005, by entering into an Equity Transfer Agreement with Helpson’s three former shareholders. The transaction was approved by the Commercial Bureau of Hainan Province on June 12, 2005 and Helpson received the Certificate of Approval for Establishment of Enterprises with Foreign Investment in the PRC on the same day. Helpson received its business license evidencing its Wholly Foreign Owned Enterprise (“WFOE”) status on June 21, 2005.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is principally engaged in the development, manufacture and marketing of pharmaceutical products for human use in connection with a variety of high-incidence and high-mortality diseases and medical conditions prevalent in the PRC. All of its operations are conducted in the PRC, where its manufacturing facilities are located. Helpson manufactures pharmaceutical products in the form of dry powder injectables, liquid injectables, tablets, capsules, and cephalosporin oral solutions. The majority of its pharmaceutical products are sold on a prescription basis and all have been approved for at least one or more therapeutic indications by the National Medical Products Administration (the “NMPA”, formerly China Food and Drug Administration, or CFDA) based upon demonstrated safety and efficacy.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Liquidity and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2023, the Company had cash and cash equivalents of $1.4 million and an accumulated deficit of $39.3 million. The Company’s Chairperson, Chief Executive Officer and Interim Chief Financial Officer (“Chairperson Li”) has advanced an aggregate of $1,133,809 as of December 31, 2023 to provide working capital and enabled the Company to make the required payments related to its former construction loan facility. The Company anticipates operating losses to continue for the foreseeable future due to, among other things, costs related to the production of its existing products, debt service costs and costs of selling and administrative costs. These conditions raise substantial doubt about its ability to continue as a going concern within one year after the date that the financial statements are issued. To alleviate the conditions that raise substantial doubt about the Company’s ability to continue as a going concern, management plans to enhance the sales model of advance payment, and further strengthen its collection of accounts receivable. Further, the Company is currently exploring strategic alternatives to accelerate the launch of nutrition products. In addition, management believes that the Company’s existing fixed assets can serve as collateral to support additional bank loans. While the current plans will allow the Company to fund its operations in the next twelve months, there can be no assurance that the Company will be able to achieve its future strategic alternatives raising substantial doubt about its ability to continue as a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Pursuant to the requirements of Accounting Standards Codification (ASC) 205-40, </w:t>
      </w:r>
      <w:r>
        <w:rPr>
          <w:rFonts w:ascii="Times New Roman" w:eastAsia="Times New Roman" w:hAnsi="Times New Roman" w:cs="Times New Roman"/>
          <w:b w:val="0"/>
          <w:bCs w:val="0"/>
          <w:i/>
          <w:iCs/>
          <w:smallCaps w:val="0"/>
          <w:sz w:val="20"/>
          <w:szCs w:val="20"/>
        </w:rPr>
        <w:t>Disclosure of Uncertainties about an Entity’s Ability to Continue as a Going Concern</w:t>
      </w:r>
      <w:r>
        <w:rPr>
          <w:rFonts w:ascii="Times New Roman" w:eastAsia="Times New Roman" w:hAnsi="Times New Roman" w:cs="Times New Roman"/>
          <w:b w:val="0"/>
          <w:bCs w:val="0"/>
          <w:i w:val="0"/>
          <w:iCs w:val="0"/>
          <w:smallCaps w:val="0"/>
          <w:sz w:val="20"/>
          <w:szCs w:val="20"/>
        </w:rPr>
        <w:t xml:space="preserve"> management must evaluate whether there are conditions or events, considered in the aggregate, that raise substantial doubt about the Company’s ability to continue as a going concern within one year after the date that the financial statements are issued. This evaluation initially does not take into consideration the potential mitigating effect of management’s plans that have not been fully implemented as of the date the financial statements are issued. When substantial doubt exists under this methodology, management evaluates whether the mitigating effect of its plans sufficiently alleviates substantial doubt about the Company’s ability to continue as a going concern. The mitigating effect of management’s plans, however, is only considered if both (1) it is probable that the plans will be effectively implemented within one year after the date that the financial statements are issued, and (2) it is probable that the plans, when implemented, will mitigate the relevant conditions or events that raise substantial doubt about the entity’s ability to continue as a going concern within one year after the date that the financial statements are issued.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ASC 205-40, the strategic alternatives being pursued by the Company cannot be considered probable at this time because none of the Company’s current plans have been finalized at the time of the issuance of these financial statements and the implementation of any such plan is not probable of being effectively implemented as none of the plans are entirely within the Company’s control. Accordingly, substantial doubt is deemed to exist about the Company’s ability to continue as a going concern within one year after the date these financial statements are issued.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consolidated financial statements have been prepared on a going concern basis, which contemplates the realization of assets and satisfaction of liabilities in the ordinary course of business. The financial statements do not include any adjustments relating to the recoverability and classification of recorded asset amounts or the amounts and classification of liabilities that might result from the outcome of the uncertainties described above.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Reverse Stock Split </w:t>
      </w:r>
      <w:r>
        <w:rPr>
          <w:rFonts w:ascii="Times New Roman" w:eastAsia="Times New Roman" w:hAnsi="Times New Roman" w:cs="Times New Roman"/>
          <w:b w:val="0"/>
          <w:bCs w:val="0"/>
          <w:i w:val="0"/>
          <w:iCs w:val="0"/>
          <w:smallCaps w:val="0"/>
          <w:sz w:val="20"/>
          <w:szCs w:val="20"/>
        </w:rPr>
        <w:t>– Effective March 6, 2024, the Company implemented a 1-for-5 reverse stock split as more fully discussed in Note 14. All share and per share disclosures have been retroactively restated to reflect the impact of the reverse stock split.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Consolidation and Basis of Presentation </w:t>
      </w:r>
      <w:r>
        <w:rPr>
          <w:rFonts w:ascii="Times New Roman" w:eastAsia="Times New Roman" w:hAnsi="Times New Roman" w:cs="Times New Roman"/>
          <w:b w:val="0"/>
          <w:bCs w:val="0"/>
          <w:i w:val="0"/>
          <w:iCs w:val="0"/>
          <w:smallCaps w:val="0"/>
          <w:sz w:val="20"/>
          <w:szCs w:val="20"/>
        </w:rPr>
        <w:t>– The accompanying consolidated financial statements have been prepared in accordance with accounting principles generally accepted in the United States of America (“U.S. GAAP”) and are expressed in United States dollars. The accompanying consolidated financial statements include the accounts and operations of the Company and its wholly-owned subsidiaries. All significant intercompany balances and transactions have been eliminated in the consolidation.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Helpson’s functional currency is the Chinese Renminbi. Helpson’s revenue and expenses are translated into United States dollars at the average exchange rate for the period. Assets and liabilities are translated at the exchange rate as of the end of the reporting period. Gains or losses from translating Helpson’s financial statements are included in accumulated other comprehensive income, which is a component of stockholders’ equity. Gains and losses arising from transactions denominated in a currency other than the functional currency of the entity that is party to the transaction are included in the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Accounting Estimates </w:t>
      </w:r>
      <w:r>
        <w:rPr>
          <w:rFonts w:ascii="Times New Roman" w:eastAsia="Times New Roman" w:hAnsi="Times New Roman" w:cs="Times New Roman"/>
          <w:b/>
          <w:bCs/>
          <w:i w:val="0"/>
          <w:iCs w:val="0"/>
          <w:smallCaps w:val="0"/>
          <w:sz w:val="20"/>
          <w:szCs w:val="20"/>
        </w:rPr>
        <w:t>- </w:t>
      </w:r>
      <w:r>
        <w:rPr>
          <w:rFonts w:ascii="Times New Roman" w:eastAsia="Times New Roman" w:hAnsi="Times New Roman" w:cs="Times New Roman"/>
          <w:b w:val="0"/>
          <w:bCs w:val="0"/>
          <w:i w:val="0"/>
          <w:iCs w:val="0"/>
          <w:smallCaps w:val="0"/>
          <w:sz w:val="20"/>
          <w:szCs w:val="20"/>
        </w:rPr>
        <w:t>The methodology used to prepare the Company’s financial statements is in conformity with U.S. GAAP, which requires the management of the Company to make estimates and assumptions that affect the reported amounts of assets and liabilities and the disclosures of contingent assets and liabilities at the date of the financial statements, and the reported amounts of revenues and expenses during the reporting periods.  Significant estimates made by management include, but are not limited to, the allowance for doubtful accounts, deferred tax asset valuation allowance, valuation of stock-based compensation, the useful life of property and equipment, valuation of intangible assets and the assumptions used to calculate derivative liabilities. Therefore, actual results could differ from those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Cash and Cash Equivalents </w:t>
      </w:r>
      <w:r>
        <w:rPr>
          <w:rFonts w:ascii="Times New Roman" w:eastAsia="Times New Roman" w:hAnsi="Times New Roman" w:cs="Times New Roman"/>
          <w:b w:val="0"/>
          <w:bCs w:val="0"/>
          <w:i w:val="0"/>
          <w:iCs w:val="0"/>
          <w:smallCaps w:val="0"/>
          <w:sz w:val="20"/>
          <w:szCs w:val="20"/>
        </w:rPr>
        <w:t>– Cash and cash equivalents include interest bearing and non-interest bearing bank deposits, money market accounts, and short-term banker’s acceptances notes purchased with maturities of three months or less.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Trade Accounts Receivable and Allowance for Doubtful Accounts – </w:t>
      </w:r>
      <w:r>
        <w:rPr>
          <w:rFonts w:ascii="Times New Roman" w:eastAsia="Times New Roman" w:hAnsi="Times New Roman" w:cs="Times New Roman"/>
          <w:b w:val="0"/>
          <w:bCs w:val="0"/>
          <w:i w:val="0"/>
          <w:iCs w:val="0"/>
          <w:smallCaps w:val="0"/>
          <w:sz w:val="20"/>
          <w:szCs w:val="20"/>
        </w:rPr>
        <w:t>Trade accounts receivables are carried at the original invoiced amounts less an allowance for doubtful accounts. The allowances for doubtful accounts are calculated based on a detailed review of certain individual customer accounts and an estimation of the overall economic conditions affecting the Company’s customer base. The Company reviews a customer’s credit history before extending credit to the customer. If the financial condition of its customers were to deteriorate, resulting in an impairment of their ability to make payments, additions to the allowance would be required. A provision is made against accounts receivable to the extent they are considered unlikely to be collected. Charges (credits) to bad debt expense totaled ($15,757) and ($93,851) for the years ended December 31, 2023 and 2022,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Trade accounts receivable that have been fully allowed for and determined to be uncollectible are charged against the allowance in the period the determination is made. The Company charged off uncollectible trade accounts receivable balances in the amount of $0 and $0 against the allowance for the years ended December 31, 2023 and 2022, respectively. Customer balances outstanding for more than one year are allowed for at a greater rate than more current balances when calculating the allowance for doubtful accounts.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Advances to Suppliers and Advances from Customers</w:t>
      </w:r>
      <w:r>
        <w:rPr>
          <w:rFonts w:ascii="Times New Roman" w:eastAsia="Times New Roman" w:hAnsi="Times New Roman" w:cs="Times New Roman"/>
          <w:b w:val="0"/>
          <w:bCs w:val="0"/>
          <w:i w:val="0"/>
          <w:iCs w:val="0"/>
          <w:smallCaps w:val="0"/>
          <w:sz w:val="20"/>
          <w:szCs w:val="20"/>
        </w:rPr>
        <w:t> – Common practice in the PRC is to make advances to suppliers for materials and to receive advances from customers for finished products. Advances to suppliers are applied to trade accounts payable when the materials are received. Advances received from customers are applied against trade accounts receivable when finished products are sold. The Company reviews a supplier’s credit history and background information before advancing a payment. If the financial condition of its suppliers were to deteriorate, resulting in an impairment of their ability to deliver goods or provide services, the Company would recognize bad debt expense in the period they are considered unlikely to be collected.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xml:space="preserve">Inventory – </w:t>
      </w:r>
      <w:r>
        <w:rPr>
          <w:rFonts w:ascii="Times New Roman" w:eastAsia="Times New Roman" w:hAnsi="Times New Roman" w:cs="Times New Roman"/>
          <w:b w:val="0"/>
          <w:bCs w:val="0"/>
          <w:i w:val="0"/>
          <w:iCs w:val="0"/>
          <w:smallCaps w:val="0"/>
          <w:sz w:val="20"/>
          <w:szCs w:val="20"/>
        </w:rPr>
        <w:t>Inventory consists of raw materials, work in process and finished goods and is stated at the lower of cost or net realizable value. Cost is determined using a weighted average. For work in process and manufactured inventories, cost consists of raw materials, direct labor and an allocated portion of the Company’s production overhead. The Company writes down excess and obsolete inventory to its estimated net realizable value based upon assumptions about future demand and market conditions. For finished goods and work in process, if the estimated net realizable value for an inventory item, which is the estimated selling price in the ordinary course of business, less reasonably predicable costs to completion and disposal, is lower than its cost, the specific inventory item is written down to its estimated net realizable value. Net realizable value for raw materials is based on replacement cost. Provisions for inventory write-downs are included in the cost of revenues in the consolidated statements of operations. Inventories are carried at this lower cost basis until sold or scrapped.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Leases</w:t>
      </w:r>
      <w:r>
        <w:rPr>
          <w:rFonts w:ascii="Times New Roman" w:eastAsia="Times New Roman" w:hAnsi="Times New Roman" w:cs="Times New Roman"/>
          <w:b/>
          <w:bCs/>
          <w:i/>
          <w:iCs/>
          <w:smallCaps w:val="0"/>
          <w:sz w:val="20"/>
          <w:szCs w:val="20"/>
        </w:rPr>
        <w:t xml:space="preserve"> – </w:t>
      </w:r>
      <w:r>
        <w:rPr>
          <w:rFonts w:ascii="Times New Roman" w:eastAsia="Times New Roman" w:hAnsi="Times New Roman" w:cs="Times New Roman"/>
          <w:b w:val="0"/>
          <w:bCs w:val="0"/>
          <w:i w:val="0"/>
          <w:iCs w:val="0"/>
          <w:smallCaps w:val="0"/>
          <w:sz w:val="20"/>
          <w:szCs w:val="20"/>
        </w:rPr>
        <w:t xml:space="preserve">At lease commencement, the Company records a lease liability based on the present value of lease payments over the expected lease term including any options to extend the lease that the Company is reasonably certain to exercise. The Company calculates the present value of lease payments using an incremental borrowing rate as the Company’s leases do not provide an implicit interest rate. The Company’s incremental borrowing rate for a lease is the rate of interest it would have to pay on a collateralized basis to borrow an amount equal to the lease payments under similar terms. At the lease commencement date, the Company records a corresponding right-of-use lease asset based on the lease liability, adjusted for any lease incentives received and any initial direct costs paid to the lessor prior to the lease commencement date. The Company may enter into leases with an initial term of 12 months or less (“Short-Term Leases”). For any Short-Term Leases, the Company records the rent expense on a straight-line basis and does not record the leases on the balance sheet.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After lease commencement, the Company measures its leases as follows: (i) the lease liability based on the present value of the remaining lease payments using the discount rate determined at lease commencement and (ii) the right-of-use lease asset based on the remeasured lease liability, adjusted for any unamortized lease incentives received, any unamortized initial direct costs and the cumulative difference between rent expense and amounts paid under the lease agreement. Any lease incentives received and any initial direct costs are amortized on a straight-line basis over the expected lease term. Rent expense is recorded on a straight-line basis over the expected lease term.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Valuation of Long-Lived Assets</w:t>
      </w:r>
      <w:r>
        <w:rPr>
          <w:rFonts w:ascii="Times New Roman" w:eastAsia="Times New Roman" w:hAnsi="Times New Roman" w:cs="Times New Roman"/>
          <w:b w:val="0"/>
          <w:bCs w:val="0"/>
          <w:i w:val="0"/>
          <w:iCs w:val="0"/>
          <w:smallCaps w:val="0"/>
          <w:sz w:val="20"/>
          <w:szCs w:val="20"/>
        </w:rPr>
        <w:t> – The carrying values of long-lived assets are reviewed for impairment annually or whenever events or changes in circumstances indicate that the carrying values may not be recoverable. When such an event occurs, the Company projects the undiscounted cash flows to be generated from the use of the asset and its eventual disposition over the remaining life of the asset. If projections indicate that the carrying value of an asset will not be recovered, it is reduced by the estimated excess of the carrying value over the projected discounted cash flows estimated to be generated by the asset. If there is uncertainty both in timing and amount, the Company will use the projected discounted cash flows to be generated by the asset. For the years ended December 31, 2023 and 2022, the Company evaluated its long-lived assets and determined that no impairment adjustments were necessary.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Property, Plant and Equipment</w:t>
      </w:r>
      <w:r>
        <w:rPr>
          <w:rFonts w:ascii="Times New Roman" w:eastAsia="Times New Roman" w:hAnsi="Times New Roman" w:cs="Times New Roman"/>
          <w:b w:val="0"/>
          <w:bCs w:val="0"/>
          <w:i w:val="0"/>
          <w:iCs w:val="0"/>
          <w:smallCaps w:val="0"/>
          <w:sz w:val="20"/>
          <w:szCs w:val="20"/>
        </w:rPr>
        <w:t> – Property, plant and equipment are stated at cost. Maintenance and repairs are charged to expenses as incurred and major improvements are capitalized. Gains or losses on sale, trade-in or retirement are included in operations during the period of disposition. Depreciation relating to office equipment was included in general and administrative expenses, while all other depreciation was included in cost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Revenue Recognition</w:t>
      </w:r>
      <w:r>
        <w:rPr>
          <w:rFonts w:ascii="Times New Roman" w:eastAsia="Times New Roman" w:hAnsi="Times New Roman" w:cs="Times New Roman"/>
          <w:b w:val="0"/>
          <w:bCs w:val="0"/>
          <w:i w:val="0"/>
          <w:iCs w:val="0"/>
          <w:smallCaps w:val="0"/>
          <w:sz w:val="20"/>
          <w:szCs w:val="20"/>
        </w:rPr>
        <w:t> – Revenue is recognized when a customer obtains control of promised goods or services and is recognized in an amount that reflects the consideration that an entity expects to receive in exchange for those goods or services. In addition, the standard requires disclosure of the nature, amount, timing, and uncertainty of revenue and cash flows arising from contracts with customers. The Company does not disaggregate its revenue streams as the economic factors underlying the contracts are similar and provide no significant distinction. The amount of revenue that is recorded reflects the consideration that the Company expects to receive in exchange for those goods. The Company applies the following five-step model in order to determine this amount: (i) identification of the promised goods in the contract; (ii) determination of whether the promised goods are performance obligations, including whether they are distinct in the context of the contract; (iii) measurement of the transaction price, including the constraint on variable consideration; (iv) allocation of the transaction price to the performance obligations; and (v) recognition of revenue when (or as) the Company satisfies each performance obligation.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only applies the five-step model to contracts when it is probable that the entity will collect the consideration it is entitled to in exchange for the goods or services it transfers to the customer. Once a contract is determined to be within the scope of ASC 606 at contract inception, the Company reviews the contract to determine which performance obligations the Company must deliver and which of these performance obligations are distinct. The Company recognizes as revenues the amount of the transaction price that is allocated to the respective performance obligation when (or as) the performance obligation is satisfied. The Company’s contracts are fixed price and reflect standalone pricing for each item. Due to the nature of the products sold, there are no returns. Generally, the Company’s performance obligations are transferred to customers at a point in time, typically upon buyer’s designated carrier or the buyer picks up the goods at the Company’s warehouse.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36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all reporting periods, the Company has not disclosed the value of unsatisfied performance obligations for all product revenue contracts with an original expected length of one year or less, which is an optional exemption that is permitted under the adoption rules. The Company has received advance deposits for orders less than one year. These advances total $90,507 and $520,295 and are recorded as a liability on the accompanying balance sheet as “Advances from customers” as of December 31, 2023 and 2022, respectively. The subsequently recognized revenue was $81,456as of March 29, 2024.</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Cost of Revenues</w:t>
      </w:r>
      <w:r>
        <w:rPr>
          <w:rFonts w:ascii="Times New Roman" w:eastAsia="Times New Roman" w:hAnsi="Times New Roman" w:cs="Times New Roman"/>
          <w:b w:val="0"/>
          <w:bCs w:val="0"/>
          <w:i w:val="0"/>
          <w:iCs w:val="0"/>
          <w:smallCaps w:val="0"/>
          <w:sz w:val="20"/>
          <w:szCs w:val="20"/>
        </w:rPr>
        <w:t> – Cost of revenues includes wages, materials, depreciation, handling charges, and other expenses associated with the manufacture and delivery of products.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Research and Development</w:t>
      </w:r>
      <w:r>
        <w:rPr>
          <w:rFonts w:ascii="Times New Roman" w:eastAsia="Times New Roman" w:hAnsi="Times New Roman" w:cs="Times New Roman"/>
          <w:b w:val="0"/>
          <w:bCs w:val="0"/>
          <w:i w:val="0"/>
          <w:iCs w:val="0"/>
          <w:smallCaps w:val="0"/>
          <w:sz w:val="20"/>
          <w:szCs w:val="20"/>
        </w:rPr>
        <w:t> – Research and development expenditures are recorded as expenses in the period in which they occur.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Credit Risk</w:t>
      </w:r>
      <w:r>
        <w:rPr>
          <w:rFonts w:ascii="Times New Roman" w:eastAsia="Times New Roman" w:hAnsi="Times New Roman" w:cs="Times New Roman"/>
          <w:b w:val="0"/>
          <w:bCs w:val="0"/>
          <w:i w:val="0"/>
          <w:iCs w:val="0"/>
          <w:smallCaps w:val="0"/>
          <w:sz w:val="20"/>
          <w:szCs w:val="20"/>
        </w:rPr>
        <w:t> – The carrying amount of accounts receivable included in the balance sheet represents the Company’s exposure to credit risk in relation to its financial assets. No other financial asset carries a significant exposure to credit risk. The Company performs ongoing credit evaluations of each customer’s financial condition. The Company maintains allowances for doubtful accounts and such allowances in aggregate have not exceeded management’s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its cash in bank deposits primarily at state owned banks located in the PRC. Historically, deposits in PRC banks have been secured due to the state policy of protecting depositors’ interests. The PRC promulgated a Bankruptcy Law in August 2006, effective June 1, 2007, which contains provisions for the implementation of measures for the bankruptcy of PRC banks. Company bank accounts in China are not subject to a certain insurance coverage and will follow the provisions set forth in the PRC Bankruptcy Law should any bank where the Company has accounts declare bankruptcy.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Interest Rate Risk</w:t>
      </w:r>
      <w:r>
        <w:rPr>
          <w:rFonts w:ascii="Times New Roman" w:eastAsia="Times New Roman" w:hAnsi="Times New Roman" w:cs="Times New Roman"/>
          <w:b w:val="0"/>
          <w:bCs w:val="0"/>
          <w:i w:val="0"/>
          <w:iCs w:val="0"/>
          <w:smallCaps w:val="0"/>
          <w:sz w:val="20"/>
          <w:szCs w:val="20"/>
        </w:rPr>
        <w:t> – The Company is exposed to the risk arising from changing interest rates, which may affect the ability of repayment of existing debts and viability of securing future debt instruments within the PRC.</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Basic and Diluted Loss per Common Share </w:t>
      </w:r>
      <w:r>
        <w:rPr>
          <w:rFonts w:ascii="Times New Roman" w:eastAsia="Times New Roman" w:hAnsi="Times New Roman" w:cs="Times New Roman"/>
          <w:b/>
          <w:bCs/>
          <w:i w:val="0"/>
          <w:iCs w:val="0"/>
          <w:smallCaps w:val="0"/>
          <w:sz w:val="20"/>
          <w:szCs w:val="20"/>
        </w:rPr>
        <w:t>- </w:t>
      </w:r>
      <w:r>
        <w:rPr>
          <w:rFonts w:ascii="Times New Roman" w:eastAsia="Times New Roman" w:hAnsi="Times New Roman" w:cs="Times New Roman"/>
          <w:b w:val="0"/>
          <w:bCs w:val="0"/>
          <w:i w:val="0"/>
          <w:iCs w:val="0"/>
          <w:smallCaps w:val="0"/>
          <w:sz w:val="20"/>
          <w:szCs w:val="20"/>
        </w:rPr>
        <w:t>Basic loss per common share is computed by dividing net loss by the weighted-average number of common shares outstanding during the period. Diluted loss per share is calculated to give effect to potentially issuable dilutive common shares.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2023, the Company has potentially dilutive common shares related to the option to purchase 13,300 shares of common stock and the 6,267 shares issuable upon conversion of the Convertible Note Payable are excluded from the computation of diluted net loss per share for all periods presented because the effect is anti-dilutive due to net losses of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Recent Accounting Pronouncements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June 2016, the Financial Accounting Standards Board (“FASB”) issued Accounting Standards Update (“ASU”) 2016-13, </w:t>
      </w:r>
      <w:r>
        <w:rPr>
          <w:rFonts w:ascii="Times New Roman" w:eastAsia="Times New Roman" w:hAnsi="Times New Roman" w:cs="Times New Roman"/>
          <w:b w:val="0"/>
          <w:bCs w:val="0"/>
          <w:i/>
          <w:iCs/>
          <w:smallCaps w:val="0"/>
          <w:sz w:val="20"/>
          <w:szCs w:val="20"/>
        </w:rPr>
        <w:t>Financial Instruments – Credit Losses (Topic 326)</w:t>
      </w:r>
      <w:r>
        <w:rPr>
          <w:rFonts w:ascii="Times New Roman" w:eastAsia="Times New Roman" w:hAnsi="Times New Roman" w:cs="Times New Roman"/>
          <w:b w:val="0"/>
          <w:bCs w:val="0"/>
          <w:i w:val="0"/>
          <w:iCs w:val="0"/>
          <w:smallCaps w:val="0"/>
          <w:sz w:val="20"/>
          <w:szCs w:val="20"/>
        </w:rPr>
        <w:t>, which introduces new guidance for the accounting for credit losses on instruments within its scope. The new guidance introduces an approach based on expected losses to estimate credit losses on certain types of financial instruments. It also modifies the impairment model for available-for-sale (AFS) debt securities and provides for a simplified accounting model for purchased financial assets with credit deterioration since their origination. The pronouncement will was effective for public business entities that are SEC smaller reporting company filers in fiscal years beginning after December 15, 2022, including interim periods within those fiscal years. Early application of the guidance will be permitted for all entities for fiscal years beginning after December 15, 2019, including interim periods within those fiscal years. The adoption of the standard had no material impact on its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the FASB or other standards setting bodies issue new accounting pronouncements. Updates to the FASB ASC are communicated through issuance of ASUs. Unless otherwise discussed, the Company believes that the recently issued guidance, whether adopted or to be adopted in the future, is not expected to have a material impact on its consolidated financial statements upon adoption.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INVENTORY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Inventory consisted of the following: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2"/>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Raw materials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1,849,213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1,839,641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Work in process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413,597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557,146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Finished goods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1,469,707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551,000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Inventory</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3,732,517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2,947,787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3 – PROPERTY, PLANT AND EQUIPMENT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Property, plant and equipment consisted of the following: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817"/>
        <w:gridCol w:w="90"/>
        <w:gridCol w:w="110"/>
        <w:gridCol w:w="977"/>
        <w:gridCol w:w="93"/>
        <w:gridCol w:w="90"/>
        <w:gridCol w:w="110"/>
        <w:gridCol w:w="9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Permit of land use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397,684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404,427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Building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9,234,836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9,391,433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Plant, machinery and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27,170,123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27,780,585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Motor vehicle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303,697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438,138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Office equipment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388,740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308,847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37,495,080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38,323,430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accumulated depreciation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(30,394,655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(28,350,365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Property, plant and equipment, net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7,100,425</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9,973,065</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is computed on a straight-line basis over the estimated useful lives of the assets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32"/>
        <w:gridCol w:w="94"/>
        <w:gridCol w:w="1029"/>
      </w:tblGrid>
      <w:tr>
        <w:tblPrEx>
          <w:tblW w:w="5000" w:type="pct"/>
          <w:tblInd w:w="5" w:type="dxa"/>
          <w:tblCellMar>
            <w:top w:w="0" w:type="dxa"/>
            <w:left w:w="0" w:type="dxa"/>
            <w:bottom w:w="0" w:type="dxa"/>
            <w:right w:w="0" w:type="dxa"/>
          </w:tblCellMar>
        </w:tblPrEx>
        <w:tc>
          <w:tcPr>
            <w:tcW w:w="4400" w:type="pct"/>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Life - years</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Permit of land use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40 - 70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Building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20 - 49</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Plant, machinery and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5 - 10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Motor vehicle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5 - 10</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Office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relating to office equipment was included in general and administrative expenses, while all other depreciation was included in cost of revenue. Depreciation expense was $2,529,858 and $2,663,975 for the years ended December 31, 2023 and 2022, respectively.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INTANGIBLE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represent the cost of medical formulas approved for production by the NMPA, the intellectual property acquired from Chengdu Bonier Medical Technology Development Co., Ltd. (“Bonier Agreement”) and the Technology Transfer Agreement (the “</w:t>
      </w:r>
      <w:r>
        <w:rPr>
          <w:rFonts w:ascii="Times New Roman" w:eastAsia="Times New Roman" w:hAnsi="Times New Roman" w:cs="Times New Roman"/>
          <w:b/>
          <w:bCs/>
          <w:i w:val="0"/>
          <w:iCs w:val="0"/>
          <w:smallCaps w:val="0"/>
          <w:sz w:val="20"/>
          <w:szCs w:val="20"/>
        </w:rPr>
        <w:t>Agreement</w:t>
      </w:r>
      <w:r>
        <w:rPr>
          <w:rFonts w:ascii="Times New Roman" w:eastAsia="Times New Roman" w:hAnsi="Times New Roman" w:cs="Times New Roman"/>
          <w:b w:val="0"/>
          <w:bCs w:val="0"/>
          <w:i w:val="0"/>
          <w:iCs w:val="0"/>
          <w:smallCaps w:val="0"/>
          <w:sz w:val="20"/>
          <w:szCs w:val="20"/>
        </w:rPr>
        <w:t>”) with Tao Liu discussed below. The Company did not obtain NMPA production approval for any new medical formulas during the years ended December 31, 2023 and 2022 and no costs were reclassified from advances to intangible assets during the years ended December 31, 2023 and 2022, respectively. On August 9, 2023, the Company obtained the “Drug Supplementary Application Approval Notice” from the NMPA for the indicating that the Company’s existing formular Candesartan tablets have passed the quality and efficacy consistency evaluation of generic drugs.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Approved medical formulas are amortized from the date NMPA approval is obtained over their individually identifiable estimated useful life, which range from ten to thirteen years.  It is at least reasonably possible that a change in the estimated useful lives of the medical formulas could occur in the near term due to changes in the demand for the drugs and medicines produced from these medical formulas. Amortization expense relating to intangible assets was $223,796 and $36,558 for the years ended December 31, 2023 and 2022, respectively which was included in the general and administrative expenses. Medical formulas typically do not have a residual value at the end of their amortization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15, 2023, the Company entered into a Technology Transfer Agreement (the “Agreement”) with Tao Liu (the “Transferor”). The Transferor owns an invention patent of a drug combination for the treatment of chronic obstructive pulmonary disease (the “Invention Patent”). Pursuant to the Agreement, the Transferor will transfer the ownership of the Invention Patent to Helpson. The Transferor or its designated third party shall provide relevant technical services in Haikou, which include but are not limited to product research and development, writing of registration materials, registration application and other technical services.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December 15, 2023 China Pharma issued 3,000,000 shares of its common stock valued at $1,650,000 based on the closing market price of its common stock of $0.55 per share at that date. The Company recorded the amount as Intangible assets on the accompanying balance sheet at December 31, 2023. The value of the intangible asset will be amortized over its remaining useful life of approximately 14.8 years.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ten years after the product launches to the market, if and only if the product generates profit, Helpson shall pay 15% of the net profit of the sales in cash on an annual basis to the Transferor.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28, 2022, the Company entered into a Technology Transfer Contract (the “Bonier Agreement”) with Chengdu Bonier Medical Technology Development Co., Ltd (“Bonier”). Bonier owns the know-how of a technical invention and creation of an ophthalmic oxygen enriched atomization therapeutic instrument, which has obtained a utility model patent (the “Utility Model Patent”) and applied for an invention patent (the “Invention Patent”) at the same time. Pursuant to the Agreement, Bonier will transfer the ownership of the Utility Model Patent of the technical invention and the Invention Patent application right of the invention to Helpson. Bonier or its designated third party shall provide relevant technical services in Haikou, which include but are not limited to product research and development, writing of registration materials, registration application and other technical services, with a term of ten years. Effective November 28, 2022 the Company issued 310,446 share of its common stock valued at $1,707,452 based on the closing market price of its common stock of $5.50 per share at that date. The Company recorded the amount as Intangible assets on the accompanying balance sheet at December 31, 2022. The value of the intangible asset will be amortized over its remaining useful life of approximately 9.7 years.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will pay a service fee of 15% of the net profit of the corresponding product sales revenue, which will be paid in cash annually after it launches to the market, contingent on the successful authorization of the above mentioned Invention Patent.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evaluates each approved medical formula for impairment at the date of NMPA approval, when indications of impairment are present and also at the date of each financial statement. The Company’s evaluation is based on an estimated undiscounted net cash flow model, which considers currently available market data for the related drug and the Company’s estimated market share. If the carrying value of the medical formula exceeds the estimated future net cash flows, an impairment loss is recognized for the excess of the carrying value over the fair value of the medical formula, which is determined by the estimated discounted future net cash flows. No impairment loss was recognized during the years ended December 31, 2023 and 2022,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consisted of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NMPA approved medical formulas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4,766,353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4,847,176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Technology from Bonier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1,726,497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1,707,452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Invention Patent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1,653,028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amortization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(4,890,646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(4,747,142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carrying amount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3,255,232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1,807,486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estimated aggregate annual amortization expense for each of the next five years and thereafter is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3"/>
      </w:tblGrid>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327,050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321,235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292,156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2027</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292,156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2028</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292,156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Thereafter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1,730,479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3,255,232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5 – OTHER PAYABLES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Other Payables consisted of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2"/>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Compensation payable to officer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1,243,506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951,506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Compensation and interest to related parties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372,578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Business taxes and other</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1,027,186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1,065,979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Other Payables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2,282,692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2,390,063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6 – RELATED PARTY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 member of the Company’s board of directors (“Board”) had previously advanced to the Company an aggregate amount of $1,354,567 as of December 31, 2022 which is recorded as “Other payables – related parties” on the accompanying condensed consolidated balance sheets. The advances bore interest at a rate of 1.0% per year.  Total interest expense years ended December 31, 2023 and 2022 was $6,773 and $13,546, respectively. Compensation and interest payable to the board member is included in Other payables in the accompanying condensed consolidated balance sheet totaling $12,000 and $372,578 as of December 31, 2023 and 2022, respectively. On August 23, 2023, the director entered into a certain debt transfer agreement with Chairperson Li, pursuant to which the rights to collect a total amount of $1,854,452 were assigned to Chairperson Li. On September 28, 2023, Chairperson Li entered into a certain loan settlement agreement, pursuant to which both parties agreed to convert the aggregate amount of $1,854,452 owed by the Company into 2,751,412 shares of restricted common stock of the Company. Such issuance was completed on September 29,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received advances totaling $2,928 and $0 and repaid $0 and $223,013 of the advances during the years ended December 31, 2023 and 2022, respectively from its Chairperson, Chief Executive Officer and Interim Chief Financial Officer. Total amounts owed were $1,121,273 and $1,425,123 and are recorded as Other payables – related parties on the accompanying condensed consolidated balance sheets as of December 31, 2021 and 2020, respectively. On July 8, 2019 the Company entered into a loan agreement in exchange for cash of RMB 4,770,000 ($738,379) with its Chairperson, Chief Executive Officer and Interim Chief Financial Officer. The loan bears interest at a rate of 4.35% and is payable within one year of the loan agreement. The due date of the loan agreement has been extended annually on identical terms, and is due July 9, 2023. Total interest expense related to the loan for the years ended December 31, 2023 and 2022 was $27,644 and $28,962, respectively. Compensation payable to the Chairperson, Chief Executive Officer and Interim Chief Financial Officer is included in Other payables in the accompanying consolidated balance sheet totaling $1,243,506 and $951,506 as of December 31, 2023 and 2022, respectively.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7 – LINES OF CREDIT AND CONSTRUCTION LOAN FACILITY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Lines of Credit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June 25, 2021 the Company entered into a loan with Bank of Communications bearing an interest rate of 4.17%. </w:t>
      </w:r>
      <w:r>
        <w:rPr>
          <w:rFonts w:ascii="Times New Roman" w:eastAsia="Times New Roman" w:hAnsi="Times New Roman" w:cs="Times New Roman"/>
          <w:b w:val="0"/>
          <w:bCs w:val="0"/>
          <w:i w:val="0"/>
          <w:iCs w:val="0"/>
          <w:smallCaps w:val="0"/>
          <w:sz w:val="20"/>
          <w:szCs w:val="20"/>
        </w:rPr>
        <w:t xml:space="preserve">The Company paid all principal and interest on June 21, 2022 and on June 22, 2022 entered into a new loan for the same principal amount bearing interest at 4.17% and due December 21, 2022. On December 21, 2022 the Company repaid the loan in full and entered into a new line of credit for an aggregate amount of RMB 7,300,000 (approximately $1.0 million) with interest payable monthly at a rate of 3.9%. The Company received an advance on the line of credit in the amount of RMB 3,800,000 (approximately $0.56 million) on December 30, 2022. On February 24, 2023 the Company received an advance on the line in the amount of RMB 3,500,000 (approximately $0.51 million). The Company has no further availability on this line of credit. The line of credit was payable on December 20, 2023. The line of credit was paid in full on December 15, 2023. On December 20, 2023, the Company received a new line of credit in the amount of RMB 3,800,000 and an interest rate of 3.9% and is due December 15, 2024. </w:t>
      </w:r>
      <w:r>
        <w:rPr>
          <w:rFonts w:ascii="Times New Roman" w:eastAsia="Times New Roman" w:hAnsi="Times New Roman" w:cs="Times New Roman"/>
          <w:b w:val="0"/>
          <w:bCs w:val="0"/>
          <w:i w:val="0"/>
          <w:iCs w:val="0"/>
          <w:smallCaps w:val="0"/>
          <w:sz w:val="20"/>
          <w:szCs w:val="20"/>
        </w:rPr>
        <w:t>In addition, the Company’s Chief Executive Officer and Chair of the Board personally guaranteed the new line of credit and pledged personal assets as collateral for the loan. Total interest expense under this facility for the years ended December 31, 2023 and 2022 was $31,750 and $53,283, respectively. On February 2, 2024 the Company repaid RMB 3,500,000 under this line of credit.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The Company obtained a line of credit of RMB 3,200,000 (approximately $0.5 million) from China CITIC Bank in September 2020 and obtained an advance of RMB 2,343,340 (approximately $0.3 million), and the remaining of RMB 856,660 (approximately $0.1 million) in October 2020 under this line. The loan bears interest at the rate of 4.50% per annum. In September, 2021 the Company repaid the line of credit in full. Also in September, 2021 the Company entered into a new line a credit in the amount of RMB 3,200,000 (approximately $0.8 million). The loan bears interest at the rate of 4.50% per annum. The line of credit was due on September 2, 2022. </w:t>
      </w:r>
      <w:r>
        <w:rPr>
          <w:rFonts w:ascii="Times New Roman" w:eastAsia="Times New Roman" w:hAnsi="Times New Roman" w:cs="Times New Roman"/>
          <w:b w:val="0"/>
          <w:bCs w:val="0"/>
          <w:i w:val="0"/>
          <w:iCs w:val="0"/>
          <w:smallCaps w:val="0"/>
          <w:sz w:val="20"/>
          <w:szCs w:val="20"/>
        </w:rPr>
        <w:t>The line of credit was paid in full on September 6, 2022. On September 9, 2022, the Company received a new line of credit in the same amount. The loan bears interest at a rate of 4.5% and is due on September 7, 2023</w:t>
      </w:r>
      <w:r>
        <w:rPr>
          <w:rFonts w:ascii="Times New Roman" w:eastAsia="Times New Roman" w:hAnsi="Times New Roman" w:cs="Times New Roman"/>
          <w:b w:val="0"/>
          <w:bCs w:val="0"/>
          <w:i w:val="0"/>
          <w:iCs w:val="0"/>
          <w:smallCaps w:val="0"/>
          <w:sz w:val="20"/>
          <w:szCs w:val="20"/>
        </w:rPr>
        <w:t xml:space="preserve"> and was repaid in full as of that date. In addition, the Company’s Chief Executive Officer and Chair of the Board had personally guaranteed the new line of credit and pledged personal assets as collateral for the loan. Total interest expense under this facility for the years ended December 31, 2023 and 2022 was $19,579 and $20,548,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September 18, 2021 the Company obtained a line of credit for RMB 10,000,000 (approximately $1.54 million) with Bank of China. The loan bears interest at the rate of 3.85% per annum. </w:t>
      </w:r>
      <w:r>
        <w:rPr>
          <w:rFonts w:ascii="Times New Roman" w:eastAsia="Times New Roman" w:hAnsi="Times New Roman" w:cs="Times New Roman"/>
          <w:b w:val="0"/>
          <w:bCs w:val="0"/>
          <w:i w:val="0"/>
          <w:iCs w:val="0"/>
          <w:smallCaps w:val="0"/>
          <w:sz w:val="20"/>
          <w:szCs w:val="20"/>
        </w:rPr>
        <w:t xml:space="preserve">The line of credit was paid in full on the due date of September 18, 2022. On September 30, 2022 the Company received a new line of credit in the same amount. The loan bears interest at the rate of 3.45% and was due September 28, 2023. On September 22, 2023 the Company repaid this note in full. On September 25, 2023 the Company entered into a three-year revolving loan and received proceeds of RMB 10,000,000 (approximately $1.4 million). The interest rate for the loan is 3.35% for the first twelve months of the loan and adjusts based on the latest one-year loan market quotation rate less 10 basis points as published by the China National Interbank Funding Center on the working day prior to each twelve month anniversary of the loan. The loan is due on September 24, 2026. </w:t>
      </w:r>
      <w:r>
        <w:rPr>
          <w:rFonts w:ascii="Times New Roman" w:eastAsia="Times New Roman" w:hAnsi="Times New Roman" w:cs="Times New Roman"/>
          <w:b w:val="0"/>
          <w:bCs w:val="0"/>
          <w:i w:val="0"/>
          <w:iCs w:val="0"/>
          <w:smallCaps w:val="0"/>
          <w:sz w:val="20"/>
          <w:szCs w:val="20"/>
        </w:rPr>
        <w:t>The loan is collateralized by the Company’s new production facility and the included production line equipment and machinery. In addition, the Company’s Chief Executive Officer and Chair of the Board personally guaranteed the new line of credit. Total interest paid on this loan was $48,624 and $54,923 for the years ended December 31, 2023 and 2022,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Principal payments required for the remaining terms of the lines of credit as of December 31, 2023 are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3"/>
      </w:tblGrid>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Lines of</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Credit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2024</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2,442,571</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13"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2,442,571</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April 2020, the Company obtained a line of credit from Postal Savings Bank of China for an aggregate amount of RMB 10,000,000 (approximately $1.4 million), of which RMB 5,000,000 (approximately $0.7 million) was advanced in April 2020, and RMB 3,000,000 (approximately $0.4 million) was advanced in July 2020. The loan bore interest at a rate of 4.25% per annum. Advances on the line of credit were due two years from the date of the advance. A third party company had guaranteed the loan as being a second priority creditor in the collateral in certain land use rights and buildings next to the creditor of the construction loan facility as discussed above. In addition, the Company’s Chief Executive Officer and Chair of the Board personally guaranteed the line of credit. Total interest expense under this facility for the years ended December 31, 2022 was $12,063. The Company repaid the remaining RMB 5,900,000 (approximately $0.85) during the year ended December 31, 2022 as per the repayment schedule in full satisfaction of the line of credit.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Fair Value of Lines of Credit</w:t>
      </w:r>
      <w:r>
        <w:rPr>
          <w:rFonts w:ascii="Times New Roman" w:eastAsia="Times New Roman" w:hAnsi="Times New Roman" w:cs="Times New Roman"/>
          <w:b w:val="0"/>
          <w:bCs w:val="0"/>
          <w:i w:val="0"/>
          <w:iCs w:val="0"/>
          <w:smallCaps w:val="0"/>
          <w:sz w:val="20"/>
          <w:szCs w:val="20"/>
        </w:rPr>
        <w:t xml:space="preserve"> – Based on the borrowing rates currently available to the Company for bank loans with similar terms and maturities, the carrying amounts of the construction loan facility outstanding as of December 31, 2023 and December 31, 2022 approximated its fair value because the underlying instrument bears an interest rate that approximated current market rates.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8 – CONVERTIBLE NOTE PAYABLE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17, 2021, China Pharma entered into a Securities Purchase Agreement (the “Agreement”) pursuant to which the Company issued an unsecured convertible promissory note (the “Note”) to an institutional accredited investor Streeterville Capital, LLC (the “Investor”). The transaction contemplated under the Agreement was closed on November 19, 2021. The Note matured on February 17, 2023. On April 13, 2023 China Pharma entered into an Amendment (the “Amendment”) with the Investor which extended the maturity date of the Convertible Note Payable to May 19, 2024. As consideration for the extension, China Pharma agreed to an extension fee of $65,639, representing 2.0% of the balance of the Note and accrued interest on the date of the Amendment. The amount was satisfied by increasing the Note balance by the amount of the extension fee. The Company recorded this as additional interest expense during the second quarter of 2023. In addition, China Pharma decreased the price at which the Investor can convert the balance from 85% to 82% of the lowest daily volume weighted average price during the ten trading days immediately preceding the applicable redemption conversion, and assumed an additional obligation to redeem a portion of the outstanding balance of the Note monthly or be subject to additional penalty fees.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Note was originally convertible into 70,000 shares of China Pharma’s common stock at a price of $75.00 per share through April 19, 2022. Thereafter, the Note was convertible into 35,000 shares at a price of $150.00 per share. As of December 31, 2023 the Note is convertible into 6,267 shares of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accrues on the outstanding balance of the Note at 5% per annum compounded daily. Upon the occurrence of an Event of Default as defined in the Note, interest accrues at the lesser of 22% per annum or the maximum rate permitted by applicable law. In addition, upon any Event of Default, the Investor may accelerate the outstanding balance payable under the Note, which will increase automatically upon such acceleration by 15% or 5%, depending on the nature of the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terms of the Agreement and the Note, the Company must obtain Investor’s consent for certain fundamental transactions such as consolidation, merger with or into another entity (excerpt for a reincorporation merger), disposition of substantial assets, change of control, reorganization or recapitalization. Any occurrence of a fundamental transaction without Investor’s prior written consent will be deemed an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Investor may redeem all or any part the outstanding balance of the Note, subject to $500,000 per calendar month, at any time after one hundred twenty-one (121) days from the Purchase Price Date, as defined in the Note, upon three trading days’ notice, in cash or converting into shares of China Pharma’s common stock, at a price equal to 82% multiplied by the lowest daily volume weighted average price during the ten trading days immediately preceding the applicable redemption conversion, subject to certain adjustments and ownership limitations specified in the Note. The Note provides for liquidated damages upon failure to comply with any of the terms or provisions of the Note. The Company may prepay the outstanding balance of the Note with the Investor’s consent. At inception, the Note was redeemable into 176,229 shares based on the lowest volume weighted average price of $29.79085 on the inception date of November 19, 2021. As of December 31, 2023, the Note was redeemable into 2,159,964 shares of common stock based on 82% of the lowest volume weighted average price of $0.436 on that date.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Total interest expense for the years ended December 31, 2023 and 2022 was $206,744 and $250,314,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2023 Redemptions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5, 2023 the Investor delivered its notice of redemption for $150,000 of the Note and related interest at the conversion price of $3.815, which was 85% of the lowest volume weighted average price during the ten trading days immediately preceding the applicable redemption conversion. Accordingly, China Pharma issued a total of 39,319 shares of common stock to the Investor on January 6,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18, 2023 the Investor delivered its notice of redemption for $250,000 of the Note and related interest at the conversion price of $3.815, which was 85% of the lowest volume weighted average price during the ten trading days immediately preceding the applicable redemption conversion. Accordingly, China Pharma issued a total of 65,531 shares of common stock to the Investor on January 19,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 2023 the Investor delivered its notice of redemption for $250,000 of the Note and related interest at the conversion price of $2.875, which was 85% of the lowest volume weighted average price during the ten trading days immediately preceding the applicable redemption conversion. Accordingly, China Pharma issued a total of 86,957 shares of common stock to the Investor on March 8,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7, 2023 the Investor delivered its notice of redemption for $200,000 of the Note and related interest at the conversion price of $1.404, which was 85% of the lowest volume weighted average price during the ten trading days immediately preceding the applicable redemption conversion. Accordingly, China Pharma issued a total of 142,450 shares of common stock to the Investor on April 13,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May 1, 2023 the Investor delivered its notice of redemption for $150,000 of the Note and related interest at the conversion price of $1.322, which was 85% of the lowest volume weighted average price during the ten trading days immediately preceding the applicable redemption conversion. Accordingly, China Pharma issued a total of 113,465 shares of common stock to the Investor on May 3,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May 24, 2023 the Investor delivered its notice of redemption for $150,000 of the Note and related interest at the conversion price of $1.2435, which was 82% of the lowest volume weighted average price during the ten trading days immediately preceding the applicable redemption conversion. Accordingly, China Pharma issued a total of 120,628 shares of common stock to the Investor on May 25,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6, 2023 the Investor delivered its notice of redemption for $150,000 of the Note and related interest at the conversion price of $1.328, which was 82% of the lowest volume weighted average price during the ten trading days immediately preceding the applicable redemption conversion. Accordingly, China Pharma issued a total of 112,952 shares of common stock to the Investor on June 13,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23, 2023 the Investor delivered its notice of redemption for $150,000 of the Note and related interest at the conversion price of $1.4225, which was 82% of the lowest volume weighted average price during the ten trading days immediately preceding the applicable redemption conversion. Accordingly, China Pharma issued a total of 105,448 shares of common stock to the Investor on June 27,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9, 2023 the Investor delivered its notice of redemption for $150,000 of the Note and related interest at the conversion price of $1.0715, which was 82% of the lowest volume weighted average price during the ten trading days immediately preceding the applicable redemption conversion. Accordingly, the Company issued a total of 139,991 shares of common stock to the Investor on August 11,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21, 2023 the Investor delivered its notice of redemption for $245,000 of the Note and related interest at the conversion price of $1.0715, which was 82% of the lowest volume weighted average price during the ten trading days immediately preceding the applicable redemption conversion. Accordingly, the Company issued a total of 228,652 shares of common stock to the Investor on August 22,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1, 2023, the Investor delivered its notice of redemption for $140,000 of the Note and related interest at the conversion price of $0.666, which was 82% of the lowest volume weighted average price during the ten trading days immediately preceding the applicable redemption conversion. Accordingly, the Company issued a total of 210,211 shares of common stock to the Investor on September 6,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12, 2023, the Investor delivered its notice of redemption for $75,000 of the Note and related interest at the conversion price of $0.579, which was 82% of the lowest volume weighted average price during the ten trading days immediately preceding the applicable redemption conversion. Accordingly, the Company issued a total of 129,534 shares of common stock to the Investor on September 13, 2023.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October 6, 2023 the Investor delivered its notice of redemption for $100,000 of the Note and related interest at the conversion price of $0.546, which was 82% of the lowest volume weighted average price during the ten trading days immediately preceding the applicable redemption conversion. Accordingly, the Company issued a total of 183,150 shares of common stock to the Investor on October 9,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October 12, 2023 the Investor delivered its notice of redemption for $115,000 of the Note and related interest at the conversion price of $0.513, which was 82% of the lowest volume weighted average price during the ten trading days immediately preceding the applicable redemption conversion. Accordingly, the Company issued a total of 224,172 shares of common stock to the Investor on October 13,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October 17, 2023 the Investor delivered its notice of redemption for $115,000 of the Note and related interest at the conversion price of $0.513, which was 82% of the lowest volume weighted average price during the ten trading days immediately preceding the applicable redemption conversion. Accordingly, the Company issued a total of 224,172 shares of common stock to the Investor on October 17,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6, 2023 the Investor delivered its notice of redemption for $80,000 of the Note and related interest at the conversion price of $0.3765, which was 82% of the lowest volume weighted average price during the ten trading days immediately preceding the applicable redemption conversion. Accordingly, the Company issued a total of 212,444 shares of common stock to the Investor on November 7,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29, 2023 the Investor delivered its notice of redemption for $125,000 of the Note and related interest at the conversion price of $0.368, which was 82% of the lowest volume weighted average price during the ten trading days immediately preceding the applicable redemption conversion. Accordingly, the Company issued a total of 339,674 shares of common stock to the Investor on November 30,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30, 2023 the Investor delivered its notice of redemption for $115,000 of the Note and related interest at the conversion price of $0.368, which was 82% of the lowest volume weighted average price during the ten trading days immediately preceding the applicable redemption conversion. Accordingly, the Company issued a total of 312,500 shares of common stock to the Investor on December 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13, 2023 the Investor delivered its notice of redemption for $150,000 of the Note and related interest at the conversion price of $0.4045, which was 82% of the lowest volume weighted average price during the ten trading days immediately preceding the applicable redemption conversion. Accordingly, the Company issued a total of 370,828 shares of common stock to the Investor on December 18,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Subsequent to December 31, 2023 the Investor delivered additional notices of redemption as discussed in Note 14.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2022 Redemptions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21, 2022 the Investor delivered its notice of redemption for $100,000 of the Note at the lowest volume weighted average price of $15.565 during the ten trading days immediately preceding the applicable redemption conversion. Accordingly, the Company issued a total of 6,425 shares of common stock to the Investor on March 23,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30, 2022 the Investor delivered its notice of redemption for $200,000 of the Note and related interest at the price of $15.645, which was 85% of the lowest volume weighted average price during the ten trading days immediately preceding the applicable redemption conversion. Accordingly, the Company issued a total of 12,874 shares of common stock to the Investor on March 31, 2022.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13, 2022 the Investor delivered its notice of redemption for $200,000 of the Note and related interest at the price of $9.90, which was 85% of the lowest volume weighted average price during the ten trading days immediately preceding the applicable redemption conversion. Accordingly, the Company issued a total of 20,202 shares of common stock to the Investor on June 13,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3, 2022 the Investor delivered its notice of redemption for $200,000 of the Note and related interest at the conversion price of $8.775, which was 85% of the lowest volume weighted average price during the ten trading days immediately preceding the applicable redemption conversion. Accordingly, the Company issued a total of 22,792 shares of common stock to the Investor on August 4,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October 17, 2022 the Investor delivered its notice of redemption for $100,000 of the Note and related interest at the conversion price of $5.60, which was 85% of the lowest volume weighted average price during the ten trading days immediately preceding the applicable redemption conversion. Accordingly, the Company issued a total of 17,857 shares of common stock to the Investor on October 18,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 2022 the Investor delivered its notice of redemption for $100,000 of the Note and related interest at the conversion price of $4.145, which was 85% of the lowest volume weighted average price during the ten trading days immediately preceding the applicable redemption conversion. Accordingly, the Company issued a total of 24,126 shares of common stock to the Investor on December 2, 2022.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5, 2022 the Investor delivered its notice of redemption for $310,000 of the Note and related interest at the conversion price of $4.145, which was 85% of the lowest volume weighted average price during the ten trading days immediately preceding the applicable redemption conversion. Accordingly, the Company issued a total of 74,789 shares of common stock to the Investor on December 6, 2022.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13, 2022 the Investor delivered its notice of redemption for $90,000 of the Note and related interest at the conversion price of $4.55, which was 85% of the lowest volume weighted average price during the ten trading days immediately preceding the applicable redemption conversion. Accordingly, the Company issued a total of 19,781 shares of common stock to the Investor on December 14,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14, 2022 the Investor delivered its notice of redemption for $150,000 of the Note and related interest at the conversion price of $4.145, which was 85% of the lowest volume weighted average price during the ten trading days immediately preceding the applicable redemption conversion. Accordingly, the Company issued a total of 36,181 shares of common stock to the Investor on December 15, 2022.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9 - LEASES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leases for certain office and production facilities in the PRC which are classified as operating leases. The leases contain payment terms for fixed amounts. Options to extend are recognized as part of the lease liabilities and recognized as right to use assets when management estimates to renew the lease. There are no residual value guarantees, no variable lease payments, and no restrictions or covenants imposed by leases. The discount rate used in measuring the lease liabilities and right of use assets was determined by reviewing the Company’s incremental borrowing rate at the initial measurement date. For the years ended December 31, 2023 and 2022, operating lease cost was $77,265 and $78,092, respectively and cash paid for amounts included in the measurement of lease liabilities for operating cash flows from operating leases was $80,647 and $82,015, respectively. As of December 31, 2023 and 2022, the Company reported operating lease right of use assets of $116,610 and $39,046, respectively and operating use liabilities of $117,637 and $40,445, respectively. As of December 31, 2023, its operating leases had a weighted average remaining lease term of 1.50 years and a weighted average discount rate of 4.75%.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Minimum lease payments for the Company’s operating lease liabilities were as follows for the twelve month periods ended December 31:</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8056"/>
        <w:gridCol w:w="92"/>
        <w:gridCol w:w="110"/>
        <w:gridCol w:w="825"/>
        <w:gridCol w:w="92"/>
      </w:tblGrid>
      <w:tr>
        <w:tblPrEx>
          <w:tblW w:w="5000" w:type="pct"/>
          <w:tblInd w:w="185" w:type="dxa"/>
          <w:tblCellMar>
            <w:top w:w="0" w:type="dxa"/>
            <w:left w:w="0" w:type="dxa"/>
            <w:bottom w:w="0" w:type="dxa"/>
            <w:right w:w="0" w:type="dxa"/>
          </w:tblCellMar>
        </w:tblPrEx>
        <w:tc>
          <w:tcPr>
            <w:tcW w:w="4400" w:type="pct"/>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80,647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40,324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undiscounted cash flows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120,971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Imputed interest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(3,334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117,637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Operating lease liabilities, current portion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(77,727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Operating lease liabilities, net of current portion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39,910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leases with terms less than one year for certain provincial sales offices that are not material.</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INCOME TAXES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Deferred income tax assets and liabilities are measured using enacted tax rates expected to apply to taxable income in the years in which temporary differences are expected to be recovered or settled. The effect of a change in tax laws or rates on deferred tax assets and liabilities is recognized in income in the period that includes the enactment date.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Liabilities are established for uncertain tax positions expected to be taken in income tax returns when such positions are judged to meet the “more-likely-than-not” threshold based on the technical merits of the positions. Estimated interest and penalties related to uncertain tax positions are included as a component of other expenses. Through December 31, 2023, the Company has not identified any uncertain tax positions that it has taken. U.S. income tax returns for the years ended December 31, 2020 through December 31, 2023 and the Chinese income tax return for the year ended December 31, 2023 are open for possible examination.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the current tax law in the PRC, the Company is and will be subject to the enterprise income tax rate of 25%.</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no provision for income taxes for the years ended December 31, 2023 and 2022, respectively due to continued net losses of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F-19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Following is a reconciliation of income taxes calculated at the federal statutory rates to the provision for income taxes: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1"/>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Years Ended 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(Benefit) tax at statutory rate of 25%</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(769,704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(973,717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Prior year refund received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primarily the difference in U.S. tax rates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3,382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valuation allowance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766,322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965,301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Income tax expense</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temporary differences which give rise to the deferred income tax assets and liability are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817"/>
        <w:gridCol w:w="90"/>
        <w:gridCol w:w="110"/>
        <w:gridCol w:w="977"/>
        <w:gridCol w:w="93"/>
        <w:gridCol w:w="90"/>
        <w:gridCol w:w="110"/>
        <w:gridCol w:w="9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Deferred income tax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Allowance for doubtful trade receivables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3,446,519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4,184,882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Allowance for doubtful other receivables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6,787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 obsolescence reserve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32,355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34,921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Stock compensation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3,201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3,201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Expenses not deductible in current year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1,069,198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1,087,328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for intangible assets impairment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9,619,060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9,782,172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liability, net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PRC net operating loss carry forward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5,275,411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5,036,114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U.S. net operating loss carry forward</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2,078,262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1,849,800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deferred income tax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21,531,017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21,985,554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Valuation allowance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(21,531,017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(21,985,554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deferred income tax asset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Deferred income tax liability: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742,114</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754,698</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2022, the Company had net operating loss carryforwards for PRC tax purposes of approximately $21.1 million which are available to offset any future taxable income through 2028. Approximately $3.4 million of these carryforwards expired in December 2023. The Company also has net operating losses for United States federal income tax purposes of approximately $9.9 million of which $5.1 million is available to offset future taxable income, if any, through 2039, and $4.8 million are available for carryforward indefinitely subject to a limitation of 80% of taxable income for each tax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U.S. federal tax legislation, commonly referred to as the Tax Cuts and Jobs Act (the “U.S. Tax Reform”), was signed into law on December 22, 2017. The U.S. Tax Reform significantly modified the U.S. Internal Revenue Code by, among other things, reducing the statutory U.S. federal corporate income tax rate from 35% to 21% for taxable years beginning after December 31, 2017; limiting and/or eliminating many business deductions; migrating the U.S. to a territorial tax system with a one-time transition tax on a mandatory deemed repatriation of previously deferred foreign earnings of certain foreign subsidiaries; subject to certain limitations, generally eliminating U.S. corporate income tax on dividends from foreign subsidiaries; and providing for new taxes on certain foreign earnings.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assessing the realizability of deferred tax assets, management considers whether it is more likely than not that some portion or all of the deferred tax assets will not be realized.  The ultimate realization of deferred tax assets is dependent upon the generation of future taxable income during the periods in which those differences become deductible or tax loss carry forwards are utilized.  Management considers projected future taxable income and tax planning strategies in making this assessment.  Based upon an assessment of the level of historical taxable income and projections for future taxable income over the periods on which the deferred tax assets are deductible or can be utilized, management believes it is not likely for the Company to realize all benefits of the deferred tax assets as of December 31, 2023 and 2022.  Therefore, the Company provided for a valuation allowance against its deferred tax assets of $21,531,017 and $21,467,355 as of December 31, 2023 and 2022, respectively.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also incurred various other taxes, comprised primarily of business taxes, value-added taxes, urban construction taxes, education surcharges and others. Any unpaid amounts are reflected on the balance sheets as accrued taxes payable.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FAIR VALUE MEASUREMENTS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Fair value is defined as the exchange price that would be received for an asset or paid to transfer a liability (an exit price) in the principal or most advantageous market for the asset or liability in an orderly transaction between market participants on the measurement date. To measure fair value, a hierarchy has been established which requires an entity to maximize the use of observable inputs and minimize the use of unobservable inputs. This hierarchy uses three levels of inputs to measure the fair value of assets and liabilities as follows: Level 1 – Quoted prices in active markets for identical assets or liabilities; Level 2 – Observable inputs other than Level 1 including quoted prices for similar assets or liabilities, quoted prices in less active markets, or other observable inputs that can be corroborated by observable market data; and Level 3 – Unobservable inputs supported by little or no market activity for financial instruments whose value is determined using pricing models, discounted cash flow methodologies, or similar techniques, as well as instruments for which the determination of fair value requires significant management judgment or estimation.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fair value to measure the value of the banker’s acceptance notes it holds as of December 31, 2023 and 2022. The banker’s acceptance notes are recorded at cost which approximates fair value.  The Company held the following assets and liabilities recorded at fair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588"/>
        <w:gridCol w:w="88"/>
        <w:gridCol w:w="144"/>
        <w:gridCol w:w="834"/>
        <w:gridCol w:w="88"/>
        <w:gridCol w:w="88"/>
        <w:gridCol w:w="281"/>
        <w:gridCol w:w="796"/>
        <w:gridCol w:w="88"/>
        <w:gridCol w:w="88"/>
        <w:gridCol w:w="110"/>
        <w:gridCol w:w="822"/>
        <w:gridCol w:w="88"/>
        <w:gridCol w:w="88"/>
        <w:gridCol w:w="281"/>
        <w:gridCol w:w="796"/>
        <w:gridCol w:w="88"/>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 Measurements at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Reporting Date Using</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 notes</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588"/>
        <w:gridCol w:w="88"/>
        <w:gridCol w:w="144"/>
        <w:gridCol w:w="834"/>
        <w:gridCol w:w="88"/>
        <w:gridCol w:w="88"/>
        <w:gridCol w:w="281"/>
        <w:gridCol w:w="796"/>
        <w:gridCol w:w="88"/>
        <w:gridCol w:w="88"/>
        <w:gridCol w:w="110"/>
        <w:gridCol w:w="822"/>
        <w:gridCol w:w="88"/>
        <w:gridCol w:w="88"/>
        <w:gridCol w:w="281"/>
        <w:gridCol w:w="796"/>
        <w:gridCol w:w="88"/>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 Measurements at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Reporting Date Using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 notes</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13,784</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13,784</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13,784</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13,784</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STOCKHOLDERS’ EQUITY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is authorized to issue 500,000,000 shares of common stock, $0.001 par value, and 5,000,000 shares of preferred stock, $0.001 par value. The preferred stock may be issued in series with such designations, preferences, stated values, rights, qualifications or limitations as determined solely by the Company’s Board.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relevant PRC laws, companies registered in the PRC, including the Company’s PRC subsidiary, Helpson, are required to allocate at least 10% of their after tax income, as determined under the accounting standards and regulations in the PRC, to statutory surplus reserve accounts until the reserve account balances reach 50% of the company’s registered capital prior to their remittance of funds out of the PRC. Allocations to these reserves and funds can only be used for specific purposes and are not transferrable to the parent company in the form of loans, advances or cash dividends. The amount designated for general and statutory capital reserves is $8,145,000 at December 31, 2023 and 2022.</w:t>
      </w: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March 6, 2024, the Company implemented a 1-for -5 reverse stock split as more fully discussed in Note 14. All share and per share disclosures have been retroactively restated to reflect the impact of the reverse stock split.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March 6, 2023 China Pharma implemented a 1-for-10 reverse split of its common stock. The reverse stock split was approved by the Company’s Board of Directors through unanimous written consent and China Pharma’s stockholders at its Annual Meeting for the fiscal year ended on December 31, 2021, which was held on December 27, 2022. Upon the effectiveness of the reverse stock split, every 10 shares of China Pharma’s issued and outstanding common stock were automatically converted into one share of issued and outstanding common stock. No fractional shares were issued as a result of the reverse stock split. Instead, any fractional shares that resulted from the split were rounded up to the next whole number. The reverse stock split affects all stockholders uniformly and does not alter any stockholder’s percentage interest in China Pharma’s outstanding common stock, except for adjustments that may result from the treatment of fractional shares. All share and per share amounts have been retroactively restated for all periods presented in the accompanying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2010 Incentive Plan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12, 2010, the Company’s Board adopted the Company’s 2010 Incentive Plan (the “Plan”), which was then approved by stockholders on December 22, 2010. On October 17, 2019, the Board of Directors approved the First Amendment to the 2010 Incentive Plan (the “Amendment”), pursuant to which the term of the 2010 Incentive Plan was extended to December 31, 2029. The Amendment was adopted by the stockholders on December 19, 2019. On October 25, 2021, the Board of Directors approved, and on December 27, 2021 our stockholders adopted the Amendment No.2 to the Plan to increase the number of shares of the Common Stock, that are reserved thereunder by 100,000 shares from 80,000 shares to 180,000 shares. On October 27, 2022 the Board of Directors approved and on December 27, 2022, the stockholders adopted the Amended and Restated Long Term 2010 Incentive Plan to increase the number of shares of common stock that are reserved thereunder by an additional 100,000 shares from 180,000 to 280,000. On December 17, 2023 the stockholders approved Amendment No. 1 to the Amended and Restated Long Term 2010 Incentive Plan to increase the number of shares from 280,000 to 580,000. The Plan gives the Company the ability to grant stock options, restricted stock, stock appreciation rights and performance units to its employees, directors and consultants, or those who will become employees, directors and consultants of the Company and/or its subsidiaries. The Plan currently allows for equity awards of up to 580,000 shares of common stock. Through December 31, 2023, there were 84,700 shares of stock and stock options granted and outstanding under the Plan.  A total of 13,300 options were outstanding as of December 31, 2023 under the Plan. As such, there are 482,000 additional units available for issuance under the Plan.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issuances of securities from the Plan for the year ended December 31, 2023 and as such, no compensation expense was recognized for the period.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October 3, 2022 the Company issued 6,000 shares of common stock pursuant to a contract with a consultant to the Company for services. The Company recorded compensation expense totaling $42,000 based on the closing market price of its common stock of $7.00 per share on the issuance date. The contract also calls for the issuance of up to 18,000 additional shares of common stock contingent upon the achievement of certain milestones as described in the contract. At December 31, 2023 these milestones had not been met.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October 4, 2022 the Company issued an option to purchase </w:t>
      </w:r>
      <w:r>
        <w:rPr>
          <w:rFonts w:ascii="Times New Roman" w:eastAsia="Times New Roman" w:hAnsi="Times New Roman" w:cs="Times New Roman"/>
          <w:b w:val="0"/>
          <w:bCs w:val="0"/>
          <w:i w:val="0"/>
          <w:iCs w:val="0"/>
          <w:smallCaps w:val="0"/>
          <w:sz w:val="20"/>
          <w:szCs w:val="20"/>
        </w:rPr>
        <w:t xml:space="preserve">12,000 shares of common stock at an exercise price at $28.00 per share, under the Plan to the same consultant in the preceding paragraph. The Option vests immediately and expires on October 3, 2027. </w:t>
      </w:r>
      <w:r>
        <w:rPr>
          <w:rFonts w:ascii="Times New Roman" w:eastAsia="Times New Roman" w:hAnsi="Times New Roman" w:cs="Times New Roman"/>
          <w:b w:val="0"/>
          <w:bCs w:val="0"/>
          <w:i w:val="0"/>
          <w:iCs w:val="0"/>
          <w:smallCaps w:val="0"/>
          <w:sz w:val="20"/>
          <w:szCs w:val="20"/>
        </w:rPr>
        <w:t>The fair value of the options granted of $36,270 was calculated using the Black-Scholes option valuation model using the closing market price of $7.50 per share, volatility of 115.5%, risk free interest rate of 3.84% and an expected life of 2.5 years. The value was charged to general and administrative expenses on the accompanying Statement of Operations for the year ended December 31,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9, 2021 the Company issued an aggregate of 35,200 fully vested shares of common stock at the price of $33.50 per share, representing the closing market price on that date to its Chairperson, Chief Executive Officer and Interim Chief Financial Officer under the Plan, as amended, to partially offset certain unpaid cash compensation totaling $1,179,200.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Also on September 9, 2021 the Company issued an option to purchase </w:t>
      </w:r>
      <w:r>
        <w:rPr>
          <w:rFonts w:ascii="Times New Roman" w:eastAsia="Times New Roman" w:hAnsi="Times New Roman" w:cs="Times New Roman"/>
          <w:b w:val="0"/>
          <w:bCs w:val="0"/>
          <w:i w:val="0"/>
          <w:iCs w:val="0"/>
          <w:smallCaps w:val="0"/>
          <w:sz w:val="20"/>
          <w:szCs w:val="20"/>
        </w:rPr>
        <w:t xml:space="preserve">1,300 shares of common stock at an exercise price at $73.70 per share, under the Plan. The Option vests immediately and expires on September 9, 2024. </w:t>
      </w:r>
      <w:r>
        <w:rPr>
          <w:rFonts w:ascii="Times New Roman" w:eastAsia="Times New Roman" w:hAnsi="Times New Roman" w:cs="Times New Roman"/>
          <w:b w:val="0"/>
          <w:bCs w:val="0"/>
          <w:i w:val="0"/>
          <w:iCs w:val="0"/>
          <w:smallCaps w:val="0"/>
          <w:sz w:val="20"/>
          <w:szCs w:val="20"/>
        </w:rPr>
        <w:t>The fair value of the options granted of $15,243 was calculated using the Black-Scholes option valuation model using the closing market price of $33.50 per share, volatility of 118.4%, risk free interest rate of 0.75% and an expected life of 1.5 years. The value was charged to general and administrative expenses on the accompanying Statement of Operations for the year ended December 31, 2021.</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23, 2020 the Board approved the issuance of 40,000 shares of common stock from the Company’s 2010 Long-Term Incentive Plan, as amended for the partial conversion of unpaid compensation totaling $864,480 to the Chairperson, Chief Executive Officer and Interim Chief Financial Officer.</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December 31, 2023, there was no remaining unrecognized compensation expense related to stock options or restricted stock grants.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RISKS &amp; UNCERTAINTIES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Current vulnerability due to certain concentrations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year ended December 31, 2023, no customer accounted for more than 10% of sales and two customers accounted for 62.59% and 13.5% of accounts receivable. One suppliers accounted for 13.8% of raw material purchases, and three different products accounted for 29.2%, 27.3% and 12.5%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year ended December 31, 2022, no customer accounted for more than 10% of sales and three customers accounted for 52.9%, 11.4% and 10.4% of accounts receivable. Two suppliers accounted for 21.7% and 11.1% of raw material purchases, and three different products accounted for 25.0%, 22.8% and 13.9% of revenue.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Nature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Impact from the New Coronavirus Global Pandemic (“COVID-19”) </w:t>
      </w:r>
      <w:r>
        <w:rPr>
          <w:rFonts w:ascii="Times New Roman" w:eastAsia="Times New Roman" w:hAnsi="Times New Roman" w:cs="Times New Roman"/>
          <w:b w:val="0"/>
          <w:bCs w:val="0"/>
          <w:i w:val="0"/>
          <w:iCs w:val="0"/>
          <w:smallCaps w:val="0"/>
          <w:sz w:val="20"/>
          <w:szCs w:val="20"/>
        </w:rPr>
        <w:t>- Although the outbreak of COVID-19 since the first quarter 2020 has been under control, and China has returned to normal production and social life in an orderly manner, China is still encountering frequent resurgences in many of the major cities. For now, these resurgences have not caused material impact to our daily operations. However, we cannot guarantee subsequent resurgence will not have any material effect on the operation of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Economic environment - </w:t>
      </w:r>
      <w:r>
        <w:rPr>
          <w:rFonts w:ascii="Times New Roman" w:eastAsia="Times New Roman" w:hAnsi="Times New Roman" w:cs="Times New Roman"/>
          <w:b w:val="0"/>
          <w:bCs w:val="0"/>
          <w:i w:val="0"/>
          <w:iCs w:val="0"/>
          <w:smallCaps w:val="0"/>
          <w:sz w:val="20"/>
          <w:szCs w:val="20"/>
        </w:rPr>
        <w:t>Substantially all of the Company’s operations are conducted in the PRC, and therefore the Company is subject to special considerations and significant risks not typically associated with companies operating in the United States of America. These risks include, among others, the political, economic and legal environments and fluctuations in the foreign currency exchange rate. The Company’s results from operations may be adversely affected by changes in the political and social conditions in the PRC, and by changes in governmental policies with respect to laws and regulations, anti-inflationary measures, currency conversion and remittance abroad, and rates and methods of taxation, among other things. The unfavorable changes in global macroeconomic factors may also adversely affect the Company’s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all of the Company’s revenue is denominated in the PRC’s currency of Renminbi (RMB), which must be converted into other currencies before remittance out of the PRC. Both the conversion of RMB into foreign currencies and the remittance of foreign currencies abroad require approval of the PRC government.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YEARS ENDED DECEMBER 31, 2023 AND 2022</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14 – SUBSEQUENT EVENTS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2, 2024, the Company entered into a Technology Transfer Agreement with Lihua Li (the “Transferor”). The Transferor owns an invention patent of a pharmaceutical composition for treatment of psoriasis (the “Invention Patent”). Pursuant to the Agreement, the Transferor will transfer the ownership of the Invention Patent to Helpson. The Transferor or its designated third party shall provide relevant technical services in Haikou, which include but are not limited to product research and development, writing of registration materials, registration application.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aggregate transfer price as contemplated by the Agreement is $1.365 million which was paid to the Transferor and his two designees upon the issuance of 3,000,000 shares of common stock of the Company at $0.455 per share based on the closing market price of the Company’s common stock as of that date. During ten years since the product launches to the market, if and only if the product generates profit, Helpson shall pay 10% of the net profit of the sales in cash on an annual basis to the Transferor.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March 6, 2024 the Company implemented a 1-for-5 reverse split of its common stock. The reverse stock split was approved by the Company’s Board of Directors through unanimous written consent and the Company’s stockholders at its Annual Meeting for the fiscal year ended on December 31, 2022, which was held on December 17, 2023. Upon the effectiveness of the reverse stock split, every 5 shares of the Company’s issued and outstanding common stock were automatically converted into one share of issued and outstanding common stock. No fractional shares were issued as a result of the reverse stock split. Instead, any fractional shares that resulted from the split were rounded up to the next whole number. The reverse stock split affects all stockholders uniformly and does not alter any stockholder’s percentage interest in the Company’s outstanding common stock, except for adjustments that may result from the treatment of fractional shares. All share and per share amounts have been retroactively restated for the years ended December 31, 2023 and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11, 2024 the Investor delivered its notice of redemption for $150,000 of the Note and related interest at the conversion price of $0.3945, which was 82% of the lowest volume weighted average price during the ten trading days immediately preceding the applicable redemption conversion. Accordingly, the Company issued a total of 380,228 shares of common stock to the Investor on January 16,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 2024 the Investor delivered its notice of redemption for $150,000 of the Note and related interest at the conversion price of $0.3725, which was 82% of the lowest volume weighted average price during the ten trading days immediately preceding the applicable redemption conversion. Accordingly, the Company issued a total of 402,685 shares of common stock to the Investor on February 5,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16, 2024 the Investor delivered its notice of redemption for $150,000 of the Note and related interest at the conversion price of $0.3675, which was 82% of the lowest volume weighted average price during the ten trading days immediately preceding the applicable redemption conversion. Accordingly, the Company issued a total of 408,164 shares of common stock to the Investor on February 21,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F-24</w:t>
      </w:r>
    </w:p>
    <w:p>
      <w:pPr>
        <w:spacing w:before="0" w:after="0"/>
        <w:ind w:left="0" w:right="0"/>
        <w:jc w:val="both"/>
        <w:rPr>
          <w:rFonts w:ascii="Times New Roman" w:eastAsia="Times New Roman" w:hAnsi="Times New Roman" w:cs="Times New Roman"/>
          <w:b w:val="0"/>
          <w:bCs w:val="0"/>
          <w:i w:val="0"/>
          <w:iCs w:val="0"/>
          <w:smallCaps w:val="0"/>
          <w:sz w:val="20"/>
          <w:szCs w:val="20"/>
        </w:rPr>
      </w:pPr>
    </w:p>
    <w:sectPr>
      <w:pgSz w:w="12240" w:h="15840"/>
      <w:pgMar w:header="708" w:footer="708"/>
      <w:cols w:space="708"/>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doNotExpandShiftReturn/>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w.sec.gov/Archives/edgar/data/1106644/000121390022016151/f10k2021ex4-2_chinapharma.htm" TargetMode="External" /><Relationship Id="rId11" Type="http://schemas.openxmlformats.org/officeDocument/2006/relationships/hyperlink" Target="https://www.sec.gov/Archives/edgar/data/1106644/000121390019005094/f10k2018ex10-1_chinapharma.htm" TargetMode="External" /><Relationship Id="rId12" Type="http://schemas.openxmlformats.org/officeDocument/2006/relationships/hyperlink" Target="https://www.sec.gov/Archives/edgar/data/1106644/000121390019005094/f10k2018ex10-2_chinapharma.htm" TargetMode="External" /><Relationship Id="rId13" Type="http://schemas.openxmlformats.org/officeDocument/2006/relationships/hyperlink" Target="https://www.sec.gov/Archives/edgar/data/1106644/000101054915000090/cphi10kex102123114.htm" TargetMode="External" /><Relationship Id="rId14" Type="http://schemas.openxmlformats.org/officeDocument/2006/relationships/hyperlink" Target="https://www.sec.gov/Archives/edgar/data/1106644/000101054916000541/ex101.htm" TargetMode="External" /><Relationship Id="rId15" Type="http://schemas.openxmlformats.org/officeDocument/2006/relationships/hyperlink" Target="https://www.sec.gov/Archives/edgar/data/1106644/000101054911000554/cphi8kex101060111.htm" TargetMode="External" /><Relationship Id="rId16" Type="http://schemas.openxmlformats.org/officeDocument/2006/relationships/hyperlink" Target="https://www.sec.gov/Archives/edgar/data/1106644/000101054911000554/cphi8kex102060111.htm" TargetMode="External" /><Relationship Id="rId17" Type="http://schemas.openxmlformats.org/officeDocument/2006/relationships/hyperlink" Target="https://www.sec.gov/Archives/edgar/data/1106644/000121390022072361/ea168496-def14a_chinapharma.htm" TargetMode="External" /><Relationship Id="rId18" Type="http://schemas.openxmlformats.org/officeDocument/2006/relationships/hyperlink" Target="https://www.sec.gov/Archives/edgar/data/1106644/000121390023084279/ea187801-def14a_chinapharma.htm" TargetMode="External" /><Relationship Id="rId19" Type="http://schemas.openxmlformats.org/officeDocument/2006/relationships/hyperlink" Target="https://www.sec.gov/Archives/edgar/data/1106644/000121390021061610/ea151262ex10-1_chinapharma.htm" TargetMode="External" /><Relationship Id="rId2" Type="http://schemas.openxmlformats.org/officeDocument/2006/relationships/webSettings" Target="webSettings.xml" /><Relationship Id="rId20" Type="http://schemas.openxmlformats.org/officeDocument/2006/relationships/hyperlink" Target="https://www.sec.gov/Archives/edgar/data/1106644/000121390021061610/ea151262ex4-1_chinapharma.htm" TargetMode="External" /><Relationship Id="rId21" Type="http://schemas.openxmlformats.org/officeDocument/2006/relationships/hyperlink" Target="https://www.sec.gov/Archives/edgar/data/1106644/000121390023031309/ea177239ex10-1_chinapharm.htm" TargetMode="External" /><Relationship Id="rId22" Type="http://schemas.openxmlformats.org/officeDocument/2006/relationships/hyperlink" Target="https://www.sec.gov/Archives/edgar/data/1106644/000121390022077369/ea169540ex10-1_chinapharma.htm" TargetMode="External" /><Relationship Id="rId23" Type="http://schemas.openxmlformats.org/officeDocument/2006/relationships/hyperlink" Target="file:////var/opt/apache-tomcat/temp/ea020277201ex10-13_china.htm" TargetMode="External" /><Relationship Id="rId24" Type="http://schemas.openxmlformats.org/officeDocument/2006/relationships/hyperlink" Target="file:////var/opt/apache-tomcat/temp/ea020277201ex10-14_china.htm" TargetMode="External" /><Relationship Id="rId25" Type="http://schemas.openxmlformats.org/officeDocument/2006/relationships/hyperlink" Target="file:////var/opt/apache-tomcat/temp/ea020277201ex10-15_china.htm" TargetMode="External" /><Relationship Id="rId26" Type="http://schemas.openxmlformats.org/officeDocument/2006/relationships/hyperlink" Target="file:////var/opt/apache-tomcat/temp/ea020277201ex10-16_china.htm" TargetMode="External" /><Relationship Id="rId27" Type="http://schemas.openxmlformats.org/officeDocument/2006/relationships/hyperlink" Target="file:////var/opt/apache-tomcat/temp/ea020277201ex10-17_china.htm" TargetMode="External" /><Relationship Id="rId28" Type="http://schemas.openxmlformats.org/officeDocument/2006/relationships/hyperlink" Target="https://www.sec.gov/Archives/edgar/data/1106644/000101054908000562/cphs1ex141071108.txt" TargetMode="External" /><Relationship Id="rId29" Type="http://schemas.openxmlformats.org/officeDocument/2006/relationships/hyperlink" Target="https://www.sec.gov/Archives/edgar/data/1106644/000101054911000201/ex211.htm" TargetMode="External" /><Relationship Id="rId3" Type="http://schemas.openxmlformats.org/officeDocument/2006/relationships/fontTable" Target="fontTable.xml" /><Relationship Id="rId30" Type="http://schemas.openxmlformats.org/officeDocument/2006/relationships/hyperlink" Target="file:////var/opt/apache-tomcat/temp/ea020277201ex23-1_china.htm" TargetMode="External" /><Relationship Id="rId31" Type="http://schemas.openxmlformats.org/officeDocument/2006/relationships/hyperlink" Target="file:////var/opt/apache-tomcat/temp/ea020277201ex31-1_china.htm" TargetMode="External" /><Relationship Id="rId32" Type="http://schemas.openxmlformats.org/officeDocument/2006/relationships/hyperlink" Target="file:////var/opt/apache-tomcat/temp/ea020277201ex31-2_china.htm" TargetMode="External" /><Relationship Id="rId33" Type="http://schemas.openxmlformats.org/officeDocument/2006/relationships/hyperlink" Target="file:////var/opt/apache-tomcat/temp/ea020277201ex32-1_china.htm" TargetMode="External" /><Relationship Id="rId34" Type="http://schemas.openxmlformats.org/officeDocument/2006/relationships/hyperlink" Target="file:////var/opt/apache-tomcat/temp/ea020277201ex97-1_china.htm" TargetMode="External" /><Relationship Id="rId35" Type="http://schemas.openxmlformats.org/officeDocument/2006/relationships/styles" Target="styles.xml" /><Relationship Id="rId4" Type="http://schemas.openxmlformats.org/officeDocument/2006/relationships/image" Target="media/image1.jpeg" /><Relationship Id="rId5" Type="http://schemas.openxmlformats.org/officeDocument/2006/relationships/hyperlink" Target="http://www.sec.gov/Archives/edgar/data/1106644/000101054913000005/cphi8kex31010413.htm" TargetMode="External" /><Relationship Id="rId6" Type="http://schemas.openxmlformats.org/officeDocument/2006/relationships/hyperlink" Target="file:////var/opt/apache-tomcat/temp/ea020277201ex3-2_china.htm" TargetMode="External" /><Relationship Id="rId7" Type="http://schemas.openxmlformats.org/officeDocument/2006/relationships/hyperlink" Target="file:////var/opt/apache-tomcat/temp/ea020277201ex3-3_china.htm" TargetMode="External" /><Relationship Id="rId8" Type="http://schemas.openxmlformats.org/officeDocument/2006/relationships/hyperlink" Target="http://www.sec.gov/Archives/edgar/data/1106644/000101054913000005/cphi8kex32010413.htm" TargetMode="External" /><Relationship Id="rId9" Type="http://schemas.openxmlformats.org/officeDocument/2006/relationships/hyperlink" Target="http://www.sec.gov/Archives/edgar/data/1106644/000121390021061610/ea151262ex4-1_chinapharma.htm"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